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2DA44" w14:textId="243AD19F" w:rsidR="00E205E8" w:rsidRPr="00777D3A" w:rsidRDefault="00E205E8" w:rsidP="00E205E8">
      <w:pPr>
        <w:pStyle w:val="Title"/>
      </w:pPr>
      <w:r>
        <w:t>Request for Quotes</w:t>
      </w:r>
    </w:p>
    <w:p w14:paraId="160C3AAC" w14:textId="77777777" w:rsidR="00E205E8" w:rsidRDefault="00E205E8" w:rsidP="00E205E8">
      <w:pPr>
        <w:pStyle w:val="Title"/>
        <w:rPr>
          <w:rStyle w:val="IntenseEmphasis"/>
          <w:i w:val="0"/>
          <w:color w:val="auto"/>
        </w:rPr>
      </w:pPr>
      <w:r w:rsidRPr="0013063E">
        <w:rPr>
          <w:rStyle w:val="IntenseEmphasis"/>
          <w:i w:val="0"/>
          <w:color w:val="auto"/>
        </w:rPr>
        <w:t>2029 Pacific Mini Games</w:t>
      </w:r>
      <w:r>
        <w:rPr>
          <w:rStyle w:val="IntenseEmphasis"/>
          <w:i w:val="0"/>
          <w:color w:val="auto"/>
        </w:rPr>
        <w:t xml:space="preserve"> Infrastructure Programme </w:t>
      </w:r>
    </w:p>
    <w:p w14:paraId="6E339566" w14:textId="77777777" w:rsidR="00E205E8" w:rsidRDefault="00E205E8" w:rsidP="00E205E8">
      <w:pPr>
        <w:pStyle w:val="Title"/>
        <w:rPr>
          <w:rStyle w:val="IntenseEmphasis"/>
          <w:i w:val="0"/>
          <w:color w:val="auto"/>
        </w:rPr>
      </w:pPr>
      <w:r>
        <w:rPr>
          <w:rStyle w:val="IntenseEmphasis"/>
          <w:i w:val="0"/>
          <w:color w:val="auto"/>
        </w:rPr>
        <w:t>- Technical Advisor – Venue Assessment &amp; Scoping</w:t>
      </w:r>
      <w:r w:rsidRPr="0013063E">
        <w:rPr>
          <w:rStyle w:val="IntenseEmphasis"/>
          <w:i w:val="0"/>
          <w:color w:val="auto"/>
        </w:rPr>
        <w:t xml:space="preserve"> </w:t>
      </w:r>
    </w:p>
    <w:p w14:paraId="4BF75DBE" w14:textId="6352E349" w:rsidR="00E205E8" w:rsidRDefault="00E205E8" w:rsidP="00E205E8">
      <w:pPr>
        <w:pStyle w:val="Title"/>
        <w:rPr>
          <w:rStyle w:val="IntenseEmphasis"/>
          <w:i w:val="0"/>
          <w:color w:val="auto"/>
        </w:rPr>
      </w:pPr>
      <w:r w:rsidRPr="0070001B">
        <w:rPr>
          <w:rStyle w:val="IntenseEmphasis"/>
          <w:i w:val="0"/>
          <w:color w:val="auto"/>
        </w:rPr>
        <w:t>(Consultancy Contract)</w:t>
      </w:r>
    </w:p>
    <w:p w14:paraId="7DE661CD" w14:textId="0A42E019" w:rsidR="00E205E8" w:rsidRDefault="00E205E8" w:rsidP="00E205E8">
      <w:pPr>
        <w:rPr>
          <w:lang w:val="en-NZ" w:bidi="ar-DZ"/>
        </w:rPr>
      </w:pPr>
    </w:p>
    <w:p w14:paraId="5997EFEF" w14:textId="267AB74A" w:rsidR="007F6C72" w:rsidRPr="00827185" w:rsidRDefault="007F6C72" w:rsidP="007F6C72">
      <w:pPr>
        <w:jc w:val="both"/>
      </w:pPr>
      <w:r w:rsidRPr="00827185">
        <w:rPr>
          <w:lang w:val="en-CK"/>
        </w:rPr>
        <w:t xml:space="preserve">Hosting the 2029 Pacific Mini Games will require upgrades to existing facilities, targeted improvements to accommodation and dining infrastructure, and </w:t>
      </w:r>
      <w:r>
        <w:t xml:space="preserve">potentially </w:t>
      </w:r>
      <w:r w:rsidRPr="00827185">
        <w:rPr>
          <w:lang w:val="en-CK"/>
        </w:rPr>
        <w:t>upgrades to community sports training and competition venues across Rarotonga. Government requires early, decision-ready information on the condition of these venues, upgrade requirements, indicative costs, risks, and overall readiness to support Games delivery and legacy use.</w:t>
      </w:r>
    </w:p>
    <w:p w14:paraId="34DC9006" w14:textId="77777777" w:rsidR="007F6C72" w:rsidRPr="00827185" w:rsidRDefault="007F6C72" w:rsidP="007F6C72">
      <w:pPr>
        <w:jc w:val="both"/>
      </w:pPr>
      <w:r w:rsidRPr="00827185">
        <w:rPr>
          <w:lang w:val="en-CK"/>
        </w:rPr>
        <w:t>The Cook Islands Investment Corporation is leading the infrastructure scoping and pre-feasibility programme for the 2029 Pacific Mini Games. As part of this programme, CIIC will undertake structured assessments of accommodation, dining, training, and competition venues.</w:t>
      </w:r>
    </w:p>
    <w:p w14:paraId="0C8DF4C0" w14:textId="309CB411" w:rsidR="007F6C72" w:rsidRPr="00827185" w:rsidRDefault="007F6C72" w:rsidP="007F6C72">
      <w:pPr>
        <w:jc w:val="both"/>
      </w:pPr>
      <w:r w:rsidRPr="00827185">
        <w:rPr>
          <w:lang w:val="en-CK"/>
        </w:rPr>
        <w:t xml:space="preserve">CIIC intends to engage a </w:t>
      </w:r>
      <w:r w:rsidRPr="00827185">
        <w:rPr>
          <w:b/>
          <w:bCs/>
          <w:lang w:val="en-CK"/>
        </w:rPr>
        <w:t>Technical Advisor (TA)</w:t>
      </w:r>
      <w:r w:rsidRPr="00827185">
        <w:rPr>
          <w:lang w:val="en-CK"/>
        </w:rPr>
        <w:t xml:space="preserve"> to provide specialist technical support to this programme. The TA will work alongside CIIC personnel to develop consistent assessment methodologies and deliver technically robust venue assessments, including condition ratings, upgrade scopes, </w:t>
      </w:r>
      <w:r>
        <w:t xml:space="preserve">quantity surveys </w:t>
      </w:r>
      <w:r w:rsidRPr="00827185">
        <w:rPr>
          <w:lang w:val="en-CK"/>
        </w:rPr>
        <w:t>and preliminary cost estimates.</w:t>
      </w:r>
    </w:p>
    <w:p w14:paraId="3CF31090" w14:textId="77777777" w:rsidR="007F6C72" w:rsidRPr="00827185" w:rsidRDefault="007F6C72" w:rsidP="007F6C72">
      <w:pPr>
        <w:jc w:val="both"/>
      </w:pPr>
      <w:r w:rsidRPr="00827185">
        <w:rPr>
          <w:lang w:val="en-CK"/>
        </w:rPr>
        <w:t>The assignment will involve developing assessment frameworks, undertaking and supporting venue assessments, and delivering a consolidated assessment pack suitable for informing cost estimates, options assessments, and Government decision-making.</w:t>
      </w:r>
    </w:p>
    <w:p w14:paraId="6F29F079" w14:textId="579F6066" w:rsidR="00E205E8" w:rsidRPr="00E75738" w:rsidRDefault="00E205E8" w:rsidP="00E205E8">
      <w:pPr>
        <w:jc w:val="both"/>
        <w:rPr>
          <w:rFonts w:asciiTheme="majorHAnsi" w:hAnsiTheme="majorHAnsi" w:cstheme="majorHAnsi"/>
          <w:i/>
        </w:rPr>
      </w:pPr>
      <w:r w:rsidRPr="00E75738">
        <w:rPr>
          <w:rFonts w:asciiTheme="majorHAnsi" w:hAnsiTheme="majorHAnsi" w:cstheme="majorHAnsi"/>
        </w:rPr>
        <w:t xml:space="preserve">The requirements are detailed in </w:t>
      </w:r>
      <w:r w:rsidRPr="00E75738">
        <w:rPr>
          <w:rFonts w:asciiTheme="majorHAnsi" w:hAnsiTheme="majorHAnsi" w:cstheme="majorHAnsi"/>
          <w:i/>
        </w:rPr>
        <w:t>Attachment 1: Terms of Reference.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912"/>
        <w:gridCol w:w="5057"/>
      </w:tblGrid>
      <w:tr w:rsidR="00E205E8" w:rsidRPr="001510CE" w14:paraId="638FDDD7" w14:textId="77777777" w:rsidTr="007C1EC5">
        <w:tc>
          <w:tcPr>
            <w:tcW w:w="3912" w:type="dxa"/>
          </w:tcPr>
          <w:p w14:paraId="36FB4E1D" w14:textId="77777777" w:rsidR="00E205E8" w:rsidRPr="001510CE" w:rsidRDefault="00E205E8" w:rsidP="007C1EC5">
            <w:pPr>
              <w:rPr>
                <w:b/>
              </w:rPr>
            </w:pPr>
            <w:r w:rsidRPr="001510CE">
              <w:rPr>
                <w:b/>
              </w:rPr>
              <w:t>Deadline for submission of Quotes:</w:t>
            </w:r>
          </w:p>
        </w:tc>
        <w:tc>
          <w:tcPr>
            <w:tcW w:w="5057" w:type="dxa"/>
          </w:tcPr>
          <w:p w14:paraId="61F087A0" w14:textId="77777777" w:rsidR="00E205E8" w:rsidRPr="001510CE" w:rsidRDefault="00E205E8" w:rsidP="007C1EC5">
            <w:pPr>
              <w:rPr>
                <w:b/>
              </w:rPr>
            </w:pPr>
            <w:r w:rsidRPr="001510CE">
              <w:rPr>
                <w:b/>
              </w:rPr>
              <w:t xml:space="preserve">4.00pm (CI Time) </w:t>
            </w:r>
            <w:r>
              <w:rPr>
                <w:b/>
              </w:rPr>
              <w:t>Monday 4 May 2026</w:t>
            </w:r>
          </w:p>
        </w:tc>
      </w:tr>
      <w:tr w:rsidR="00E205E8" w:rsidRPr="001510CE" w14:paraId="5649DB62" w14:textId="77777777" w:rsidTr="007C1EC5">
        <w:tc>
          <w:tcPr>
            <w:tcW w:w="3912" w:type="dxa"/>
          </w:tcPr>
          <w:p w14:paraId="213E5D58" w14:textId="77777777" w:rsidR="00E205E8" w:rsidRPr="001510CE" w:rsidRDefault="00E205E8" w:rsidP="007C1EC5">
            <w:pPr>
              <w:rPr>
                <w:b/>
              </w:rPr>
            </w:pPr>
            <w:r w:rsidRPr="001510CE">
              <w:rPr>
                <w:b/>
              </w:rPr>
              <w:t>Indicative award notification:</w:t>
            </w:r>
          </w:p>
        </w:tc>
        <w:tc>
          <w:tcPr>
            <w:tcW w:w="5057" w:type="dxa"/>
          </w:tcPr>
          <w:p w14:paraId="708FC372" w14:textId="77777777" w:rsidR="00E205E8" w:rsidRPr="001510CE" w:rsidRDefault="00E205E8" w:rsidP="007C1EC5">
            <w:r>
              <w:t>Friday 8 May 2026</w:t>
            </w:r>
          </w:p>
        </w:tc>
      </w:tr>
      <w:tr w:rsidR="00E205E8" w:rsidRPr="001510CE" w14:paraId="2C6AA5F1" w14:textId="77777777" w:rsidTr="007C1EC5">
        <w:tc>
          <w:tcPr>
            <w:tcW w:w="3912" w:type="dxa"/>
          </w:tcPr>
          <w:p w14:paraId="6A7218E3" w14:textId="77777777" w:rsidR="00E205E8" w:rsidRPr="001510CE" w:rsidRDefault="00E205E8" w:rsidP="007C1EC5">
            <w:pPr>
              <w:rPr>
                <w:b/>
              </w:rPr>
            </w:pPr>
            <w:r w:rsidRPr="001510CE">
              <w:rPr>
                <w:b/>
              </w:rPr>
              <w:t>Indicative contract delivery period:</w:t>
            </w:r>
          </w:p>
        </w:tc>
        <w:tc>
          <w:tcPr>
            <w:tcW w:w="5057" w:type="dxa"/>
          </w:tcPr>
          <w:p w14:paraId="3631B7F3" w14:textId="77777777" w:rsidR="00E205E8" w:rsidRPr="001510CE" w:rsidRDefault="00E205E8" w:rsidP="007C1EC5">
            <w:r>
              <w:t>Commencing 18 May 2026</w:t>
            </w:r>
            <w:r w:rsidRPr="001510CE">
              <w:t xml:space="preserve">, </w:t>
            </w:r>
            <w:r>
              <w:t>approximately 12</w:t>
            </w:r>
            <w:r w:rsidRPr="001510CE">
              <w:t xml:space="preserve"> weeks duration.</w:t>
            </w:r>
          </w:p>
        </w:tc>
      </w:tr>
    </w:tbl>
    <w:p w14:paraId="126CDF07" w14:textId="77777777" w:rsidR="00E205E8" w:rsidRDefault="00E205E8" w:rsidP="00E205E8">
      <w:pPr>
        <w:rPr>
          <w:b/>
        </w:rPr>
      </w:pPr>
    </w:p>
    <w:p w14:paraId="75B4C62A" w14:textId="3F9B6AAD" w:rsidR="00E205E8" w:rsidRPr="001510CE" w:rsidRDefault="00E205E8" w:rsidP="00E205E8">
      <w:pPr>
        <w:rPr>
          <w:b/>
        </w:rPr>
      </w:pPr>
      <w:r w:rsidRPr="001510CE">
        <w:rPr>
          <w:b/>
        </w:rPr>
        <w:t xml:space="preserve">Quotes must be submitted </w:t>
      </w:r>
      <w:r>
        <w:rPr>
          <w:b/>
        </w:rPr>
        <w:t xml:space="preserve">by email to </w:t>
      </w:r>
      <w:hyperlink r:id="rId8" w:history="1">
        <w:r w:rsidRPr="00067A26">
          <w:rPr>
            <w:rStyle w:val="Hyperlink"/>
          </w:rPr>
          <w:t>troy.penno@cookislands.gov.ck</w:t>
        </w:r>
      </w:hyperlink>
      <w:r>
        <w:rPr>
          <w:rStyle w:val="Hyperlink"/>
        </w:rPr>
        <w:t xml:space="preserve"> </w:t>
      </w:r>
      <w:r>
        <w:t xml:space="preserve"> </w:t>
      </w:r>
    </w:p>
    <w:p w14:paraId="3323230F" w14:textId="77777777" w:rsidR="00E205E8" w:rsidRDefault="00E205E8" w:rsidP="00E205E8">
      <w:pPr>
        <w:pStyle w:val="Heading3"/>
      </w:pPr>
    </w:p>
    <w:p w14:paraId="6604BC35" w14:textId="77777777" w:rsidR="00E205E8" w:rsidRPr="00E75738" w:rsidRDefault="00E205E8" w:rsidP="00E205E8">
      <w:pPr>
        <w:sectPr w:rsidR="00E205E8" w:rsidRPr="00E75738" w:rsidSect="006016AC">
          <w:headerReference w:type="default" r:id="rId9"/>
          <w:footerReference w:type="default" r:id="rId10"/>
          <w:footerReference w:type="first" r:id="rId11"/>
          <w:pgSz w:w="11906" w:h="16838" w:code="9"/>
          <w:pgMar w:top="1418" w:right="1418" w:bottom="1418" w:left="1418" w:header="567" w:footer="567" w:gutter="0"/>
          <w:cols w:space="708"/>
          <w:formProt w:val="0"/>
          <w:docGrid w:linePitch="360"/>
        </w:sectPr>
      </w:pPr>
    </w:p>
    <w:p w14:paraId="5EB51B36" w14:textId="77777777" w:rsidR="00E205E8" w:rsidRDefault="00E205E8" w:rsidP="00E205E8">
      <w:pPr>
        <w:pStyle w:val="Heading1"/>
        <w:spacing w:before="120" w:after="120"/>
      </w:pPr>
      <w:r>
        <w:lastRenderedPageBreak/>
        <w:t>Conditions of Quotes</w:t>
      </w:r>
    </w:p>
    <w:p w14:paraId="64E1DE47" w14:textId="77777777" w:rsidR="00E205E8" w:rsidRPr="001510CE" w:rsidRDefault="00E205E8" w:rsidP="00E205E8">
      <w:pPr>
        <w:pStyle w:val="Conditionssubhead"/>
      </w:pPr>
      <w:r w:rsidRPr="001510CE">
        <w:t xml:space="preserve">Contents of this </w:t>
      </w:r>
      <w:r>
        <w:t>RFQ</w:t>
      </w:r>
    </w:p>
    <w:p w14:paraId="481926B4" w14:textId="77777777" w:rsidR="00E205E8" w:rsidRPr="001510CE" w:rsidRDefault="00E205E8" w:rsidP="00E205E8">
      <w:r w:rsidRPr="001510CE">
        <w:t xml:space="preserve">This </w:t>
      </w:r>
      <w:r>
        <w:t>RFQ</w:t>
      </w:r>
      <w:r w:rsidRPr="001510CE">
        <w:t xml:space="preserve"> consists of:</w:t>
      </w:r>
    </w:p>
    <w:p w14:paraId="07EEAA3A" w14:textId="77777777" w:rsidR="00E205E8" w:rsidRPr="001510CE" w:rsidRDefault="00E205E8" w:rsidP="00FB4F7B">
      <w:pPr>
        <w:pStyle w:val="ListParagraph"/>
        <w:numPr>
          <w:ilvl w:val="0"/>
          <w:numId w:val="11"/>
        </w:numPr>
        <w:spacing w:after="120" w:line="264" w:lineRule="auto"/>
        <w:jc w:val="both"/>
      </w:pPr>
      <w:r w:rsidRPr="001510CE">
        <w:t>Conditions of Quotes</w:t>
      </w:r>
    </w:p>
    <w:p w14:paraId="6A051696" w14:textId="77777777" w:rsidR="00E205E8" w:rsidRPr="001510CE" w:rsidRDefault="00E205E8" w:rsidP="00FB4F7B">
      <w:pPr>
        <w:pStyle w:val="ListParagraph"/>
        <w:numPr>
          <w:ilvl w:val="0"/>
          <w:numId w:val="11"/>
        </w:numPr>
        <w:spacing w:after="120" w:line="264" w:lineRule="auto"/>
        <w:jc w:val="both"/>
      </w:pPr>
      <w:r w:rsidRPr="001510CE">
        <w:t>Attachment 1: Terms of Reference</w:t>
      </w:r>
    </w:p>
    <w:p w14:paraId="60405613" w14:textId="77777777" w:rsidR="00E205E8" w:rsidRPr="001510CE" w:rsidRDefault="00E205E8" w:rsidP="00FB4F7B">
      <w:pPr>
        <w:pStyle w:val="ListParagraph"/>
        <w:numPr>
          <w:ilvl w:val="0"/>
          <w:numId w:val="11"/>
        </w:numPr>
        <w:spacing w:after="120" w:line="264" w:lineRule="auto"/>
        <w:jc w:val="both"/>
      </w:pPr>
      <w:r>
        <w:t>Attachment 2</w:t>
      </w:r>
      <w:r w:rsidRPr="001510CE">
        <w:t>: Response Forms</w:t>
      </w:r>
    </w:p>
    <w:p w14:paraId="1F331216" w14:textId="77777777" w:rsidR="00E205E8" w:rsidRPr="001510CE" w:rsidRDefault="00E205E8" w:rsidP="00FB4F7B">
      <w:pPr>
        <w:pStyle w:val="ListParagraph"/>
        <w:numPr>
          <w:ilvl w:val="0"/>
          <w:numId w:val="11"/>
        </w:numPr>
        <w:spacing w:after="120" w:line="264" w:lineRule="auto"/>
        <w:jc w:val="both"/>
      </w:pPr>
      <w:r w:rsidRPr="001510CE">
        <w:t xml:space="preserve">Attachment </w:t>
      </w:r>
      <w:r>
        <w:t>3</w:t>
      </w:r>
      <w:r w:rsidRPr="001510CE">
        <w:t>: Draft Contract</w:t>
      </w:r>
    </w:p>
    <w:p w14:paraId="0549A126" w14:textId="77777777" w:rsidR="00E205E8" w:rsidRPr="001510CE" w:rsidRDefault="00E205E8" w:rsidP="00E205E8">
      <w:pPr>
        <w:pStyle w:val="Conditionssubhead"/>
      </w:pPr>
      <w:r w:rsidRPr="001510CE">
        <w:t xml:space="preserve">Communications regarding this </w:t>
      </w:r>
      <w:r>
        <w:t>RFQ</w:t>
      </w:r>
    </w:p>
    <w:p w14:paraId="74B7E965" w14:textId="77777777" w:rsidR="00E205E8" w:rsidRDefault="00E205E8" w:rsidP="00E205E8">
      <w:r w:rsidRPr="001510CE">
        <w:t xml:space="preserve">All correspondence and questions relating to this </w:t>
      </w:r>
      <w:r>
        <w:t>RFQ</w:t>
      </w:r>
      <w:r w:rsidRPr="001510CE">
        <w:t xml:space="preserve"> must be in writing via email and directed to the </w:t>
      </w:r>
      <w:r>
        <w:t xml:space="preserve">named </w:t>
      </w:r>
      <w:r w:rsidRPr="001510CE">
        <w:t>Contact</w:t>
      </w:r>
      <w:r>
        <w:t xml:space="preserve"> Person below.</w:t>
      </w:r>
    </w:p>
    <w:p w14:paraId="4E81C98B" w14:textId="77777777" w:rsidR="00E205E8" w:rsidRPr="001510CE" w:rsidRDefault="00E205E8" w:rsidP="00E205E8">
      <w:r>
        <w:t>Contact Person for this RFQ:</w:t>
      </w:r>
    </w:p>
    <w:p w14:paraId="641DAB17" w14:textId="19267A5B" w:rsidR="00E205E8" w:rsidRDefault="00E205E8" w:rsidP="00E205E8">
      <w:pPr>
        <w:spacing w:after="0"/>
        <w:ind w:left="567"/>
      </w:pPr>
      <w:r>
        <w:t>Troy Penno</w:t>
      </w:r>
    </w:p>
    <w:p w14:paraId="61398A23" w14:textId="5D0E5429" w:rsidR="00E205E8" w:rsidRPr="001510CE" w:rsidRDefault="00E205E8" w:rsidP="00E205E8">
      <w:pPr>
        <w:spacing w:after="0"/>
        <w:ind w:left="567"/>
      </w:pPr>
      <w:r>
        <w:t>Project Officer, Asset Management Division</w:t>
      </w:r>
    </w:p>
    <w:p w14:paraId="7775596C" w14:textId="77777777" w:rsidR="00E205E8" w:rsidRPr="001510CE" w:rsidRDefault="00E205E8" w:rsidP="00E205E8">
      <w:pPr>
        <w:spacing w:after="0"/>
        <w:ind w:left="567"/>
      </w:pPr>
      <w:r w:rsidRPr="001510CE">
        <w:t>Cook Islands Investment Corporation</w:t>
      </w:r>
    </w:p>
    <w:p w14:paraId="6BF475F9" w14:textId="0916BE1F" w:rsidR="00E205E8" w:rsidRPr="001510CE" w:rsidRDefault="00E205E8" w:rsidP="00E205E8">
      <w:pPr>
        <w:spacing w:after="0"/>
        <w:ind w:left="567"/>
      </w:pPr>
      <w:r w:rsidRPr="001510CE">
        <w:t xml:space="preserve">Email address: </w:t>
      </w:r>
      <w:hyperlink r:id="rId12" w:history="1">
        <w:r w:rsidRPr="00067A26">
          <w:rPr>
            <w:rStyle w:val="Hyperlink"/>
          </w:rPr>
          <w:t>troy.penno@cookislands.gov.ck</w:t>
        </w:r>
      </w:hyperlink>
      <w:r w:rsidRPr="001510CE">
        <w:t xml:space="preserve"> </w:t>
      </w:r>
    </w:p>
    <w:p w14:paraId="1C5EC779" w14:textId="77777777" w:rsidR="00E205E8" w:rsidRPr="001510CE" w:rsidRDefault="00E205E8" w:rsidP="00E205E8">
      <w:pPr>
        <w:spacing w:after="0"/>
        <w:ind w:left="567"/>
      </w:pPr>
    </w:p>
    <w:p w14:paraId="7B1723BA" w14:textId="77777777" w:rsidR="00E205E8" w:rsidRPr="001510CE" w:rsidRDefault="00E205E8" w:rsidP="00E205E8">
      <w:r w:rsidRPr="001510CE">
        <w:t xml:space="preserve">During the </w:t>
      </w:r>
      <w:r>
        <w:t>RFQ</w:t>
      </w:r>
      <w:r w:rsidRPr="001510CE">
        <w:t xml:space="preserve"> period, respondents must not contact any CIIC staff member in relation to this </w:t>
      </w:r>
      <w:r>
        <w:t>RFQ</w:t>
      </w:r>
      <w:r w:rsidRPr="001510CE">
        <w:t xml:space="preserve">, or any other person associated with the </w:t>
      </w:r>
      <w:r>
        <w:t>RFQ</w:t>
      </w:r>
      <w:r w:rsidRPr="001510CE">
        <w:t xml:space="preserve">, other than the person listed above.  </w:t>
      </w:r>
      <w:proofErr w:type="spellStart"/>
      <w:r w:rsidRPr="001510CE">
        <w:t>Unauthorised</w:t>
      </w:r>
      <w:proofErr w:type="spellEnd"/>
      <w:r w:rsidRPr="001510CE">
        <w:t xml:space="preserve"> contact may invalidate you from the </w:t>
      </w:r>
      <w:r>
        <w:t>RFQ</w:t>
      </w:r>
      <w:r w:rsidRPr="001510CE">
        <w:t xml:space="preserve"> process.</w:t>
      </w:r>
    </w:p>
    <w:p w14:paraId="41C28E4E" w14:textId="77777777" w:rsidR="00E205E8" w:rsidRPr="001510CE" w:rsidRDefault="00E205E8" w:rsidP="00E205E8">
      <w:pPr>
        <w:pStyle w:val="Conditionssubhead"/>
      </w:pPr>
      <w:r w:rsidRPr="001510CE">
        <w:t>Registrations of Interest</w:t>
      </w:r>
    </w:p>
    <w:p w14:paraId="5FDA2A5D" w14:textId="77777777" w:rsidR="00E205E8" w:rsidRPr="001510CE" w:rsidRDefault="00E205E8" w:rsidP="00E205E8">
      <w:pPr>
        <w:spacing w:before="60" w:after="60"/>
        <w:rPr>
          <w:rFonts w:eastAsia="Calibri" w:cs="Arial"/>
          <w:color w:val="0000FF"/>
          <w:u w:val="single" w:color="0000FF"/>
        </w:rPr>
      </w:pPr>
      <w:r w:rsidRPr="001510CE">
        <w:t xml:space="preserve">Prospective respondents should register their interest to participate in this </w:t>
      </w:r>
      <w:r>
        <w:t>RFQ</w:t>
      </w:r>
      <w:r w:rsidRPr="001510CE">
        <w:t xml:space="preserve"> process by </w:t>
      </w:r>
      <w:r>
        <w:t>emailing the Contact Person.</w:t>
      </w:r>
    </w:p>
    <w:p w14:paraId="4F981E6E" w14:textId="77777777" w:rsidR="00E205E8" w:rsidRPr="001510CE" w:rsidRDefault="00E205E8" w:rsidP="00E205E8">
      <w:pPr>
        <w:spacing w:before="60" w:after="60"/>
        <w:rPr>
          <w:rFonts w:cs="Arial"/>
        </w:rPr>
      </w:pPr>
      <w:r w:rsidRPr="001510CE">
        <w:rPr>
          <w:rFonts w:cs="Arial"/>
        </w:rPr>
        <w:t>Only registered respondents will receive notices</w:t>
      </w:r>
      <w:r>
        <w:rPr>
          <w:rFonts w:cs="Arial"/>
        </w:rPr>
        <w:t xml:space="preserve"> to this RFQ</w:t>
      </w:r>
      <w:r w:rsidRPr="001510CE">
        <w:rPr>
          <w:rFonts w:cs="Arial"/>
        </w:rPr>
        <w:t xml:space="preserve"> directly</w:t>
      </w:r>
      <w:r>
        <w:rPr>
          <w:rFonts w:cs="Arial"/>
        </w:rPr>
        <w:t>,</w:t>
      </w:r>
      <w:r w:rsidRPr="001510CE">
        <w:rPr>
          <w:rFonts w:cs="Arial"/>
        </w:rPr>
        <w:t xml:space="preserve"> </w:t>
      </w:r>
      <w:r>
        <w:rPr>
          <w:rFonts w:cs="Arial"/>
        </w:rPr>
        <w:t xml:space="preserve">if or </w:t>
      </w:r>
      <w:r w:rsidRPr="001510CE">
        <w:rPr>
          <w:rFonts w:cs="Arial"/>
        </w:rPr>
        <w:t xml:space="preserve">when issued. It is the responsibility of the respondent to ensure they are properly registered for this </w:t>
      </w:r>
      <w:r>
        <w:rPr>
          <w:rFonts w:cs="Arial"/>
        </w:rPr>
        <w:t>RFQ</w:t>
      </w:r>
      <w:r w:rsidRPr="001510CE">
        <w:rPr>
          <w:rFonts w:cs="Arial"/>
        </w:rPr>
        <w:t xml:space="preserve">. </w:t>
      </w:r>
    </w:p>
    <w:p w14:paraId="19D44A57" w14:textId="77777777" w:rsidR="00E205E8" w:rsidRPr="001510CE" w:rsidRDefault="00E205E8" w:rsidP="00E205E8">
      <w:pPr>
        <w:pStyle w:val="Conditionssubhead"/>
      </w:pPr>
      <w:r w:rsidRPr="001510CE">
        <w:t xml:space="preserve">Notices to this </w:t>
      </w:r>
      <w:r>
        <w:t>RFQ</w:t>
      </w:r>
    </w:p>
    <w:p w14:paraId="0034A00F" w14:textId="77777777" w:rsidR="00E205E8" w:rsidRPr="001510CE" w:rsidRDefault="00E205E8" w:rsidP="00E205E8">
      <w:r w:rsidRPr="001510CE">
        <w:t xml:space="preserve">Notices to this </w:t>
      </w:r>
      <w:r>
        <w:t>RFQ</w:t>
      </w:r>
      <w:r w:rsidRPr="001510CE">
        <w:t xml:space="preserve">, if/when issued, will be </w:t>
      </w:r>
      <w:r>
        <w:t>distributed by email to registered respondents</w:t>
      </w:r>
      <w:r w:rsidRPr="001510CE">
        <w:t>.</w:t>
      </w:r>
    </w:p>
    <w:p w14:paraId="7DED189E" w14:textId="77777777" w:rsidR="00E205E8" w:rsidRPr="001510CE" w:rsidRDefault="00E205E8" w:rsidP="00E205E8">
      <w:pPr>
        <w:pStyle w:val="Conditionssubhead"/>
      </w:pPr>
      <w:r w:rsidRPr="001510CE">
        <w:t>Quote contents</w:t>
      </w:r>
    </w:p>
    <w:p w14:paraId="0BD655F2" w14:textId="77777777" w:rsidR="00E205E8" w:rsidRDefault="00E205E8" w:rsidP="00E205E8">
      <w:r w:rsidRPr="001510CE">
        <w:t xml:space="preserve">Quotes </w:t>
      </w:r>
      <w:r w:rsidRPr="001510CE">
        <w:rPr>
          <w:u w:val="single"/>
        </w:rPr>
        <w:t>must</w:t>
      </w:r>
      <w:r w:rsidRPr="001510CE">
        <w:t xml:space="preserve"> comprise of</w:t>
      </w:r>
      <w:r>
        <w:t>:</w:t>
      </w:r>
      <w:r w:rsidRPr="001510CE">
        <w:t xml:space="preserve"> </w:t>
      </w:r>
    </w:p>
    <w:p w14:paraId="38ABE009" w14:textId="341A25F1" w:rsidR="00E205E8" w:rsidRDefault="00183F01" w:rsidP="00FB4F7B">
      <w:pPr>
        <w:pStyle w:val="ListParagraph"/>
        <w:numPr>
          <w:ilvl w:val="0"/>
          <w:numId w:val="13"/>
        </w:numPr>
      </w:pPr>
      <w:r>
        <w:t>C</w:t>
      </w:r>
      <w:r w:rsidR="00E205E8" w:rsidRPr="001510CE">
        <w:t xml:space="preserve">ompleted </w:t>
      </w:r>
      <w:r w:rsidR="00E205E8" w:rsidRPr="006D21A0">
        <w:rPr>
          <w:b/>
        </w:rPr>
        <w:t>Response Forms</w:t>
      </w:r>
      <w:r w:rsidR="00E205E8">
        <w:t xml:space="preserve"> – Refer to Attachment 2</w:t>
      </w:r>
      <w:r w:rsidR="00E205E8" w:rsidRPr="001510CE">
        <w:t xml:space="preserve">. </w:t>
      </w:r>
    </w:p>
    <w:p w14:paraId="34BE78CF" w14:textId="77777777" w:rsidR="00E205E8" w:rsidRDefault="00E205E8" w:rsidP="00FB4F7B">
      <w:pPr>
        <w:pStyle w:val="ListParagraph"/>
        <w:numPr>
          <w:ilvl w:val="0"/>
          <w:numId w:val="13"/>
        </w:numPr>
      </w:pPr>
      <w:r>
        <w:t xml:space="preserve">An updated CV inclusive of qualifications and/or experience relevant to the assignment, and contact details for two (2) references. </w:t>
      </w:r>
    </w:p>
    <w:p w14:paraId="0A2D783E" w14:textId="77777777" w:rsidR="00E205E8" w:rsidRPr="001510CE" w:rsidRDefault="00E205E8" w:rsidP="00E205E8">
      <w:r w:rsidRPr="001510CE">
        <w:t>Respondents may submit additional information in support of their Quote.</w:t>
      </w:r>
    </w:p>
    <w:p w14:paraId="0D6A8A3D" w14:textId="77777777" w:rsidR="00E205E8" w:rsidRPr="001510CE" w:rsidRDefault="00E205E8" w:rsidP="00E205E8">
      <w:r w:rsidRPr="001510CE">
        <w:t xml:space="preserve">All Quotes must be firm offers and </w:t>
      </w:r>
      <w:r>
        <w:t xml:space="preserve">with prices valid for a </w:t>
      </w:r>
      <w:r w:rsidRPr="001510CE">
        <w:t xml:space="preserve">period of </w:t>
      </w:r>
      <w:r>
        <w:rPr>
          <w:u w:val="single"/>
        </w:rPr>
        <w:t>3</w:t>
      </w:r>
      <w:r w:rsidRPr="001510CE">
        <w:rPr>
          <w:u w:val="single"/>
        </w:rPr>
        <w:t>0 calendar days</w:t>
      </w:r>
      <w:r w:rsidRPr="001510CE">
        <w:t xml:space="preserve"> following the deadline for submission of Quotes.</w:t>
      </w:r>
    </w:p>
    <w:p w14:paraId="4B4603FA" w14:textId="77777777" w:rsidR="00E205E8" w:rsidRPr="001510CE" w:rsidRDefault="00E205E8" w:rsidP="00E205E8">
      <w:r w:rsidRPr="001510CE">
        <w:lastRenderedPageBreak/>
        <w:t xml:space="preserve">CIIC requires that all Quotes conform to these </w:t>
      </w:r>
      <w:r w:rsidRPr="001510CE">
        <w:rPr>
          <w:i/>
        </w:rPr>
        <w:t>Conditions of Quotes</w:t>
      </w:r>
      <w:r w:rsidRPr="001510CE">
        <w:t xml:space="preserve">, and reserves the right to reject any non-conforming Quote. </w:t>
      </w:r>
    </w:p>
    <w:p w14:paraId="5813620A" w14:textId="77777777" w:rsidR="00E205E8" w:rsidRPr="001510CE" w:rsidRDefault="00E205E8" w:rsidP="00E205E8">
      <w:pPr>
        <w:pStyle w:val="Conditionssubhead"/>
      </w:pPr>
      <w:r w:rsidRPr="001510CE">
        <w:t>Submission of Quotes</w:t>
      </w:r>
    </w:p>
    <w:p w14:paraId="7AA4F9C3" w14:textId="77777777" w:rsidR="00E205E8" w:rsidRPr="001510CE" w:rsidRDefault="00E205E8" w:rsidP="00E205E8">
      <w:pPr>
        <w:rPr>
          <w:b/>
        </w:rPr>
      </w:pPr>
      <w:r w:rsidRPr="001510CE">
        <w:t xml:space="preserve">Quotes must be received by the deadline specified on the front page of this </w:t>
      </w:r>
      <w:r>
        <w:t>RFQ. Quotes received after the deadline may no</w:t>
      </w:r>
      <w:r w:rsidRPr="001510CE">
        <w:t xml:space="preserve">t be considered. </w:t>
      </w:r>
    </w:p>
    <w:p w14:paraId="260EAFC4" w14:textId="77777777" w:rsidR="00E205E8" w:rsidRPr="001510CE" w:rsidRDefault="00E205E8" w:rsidP="00E205E8">
      <w:r w:rsidRPr="001510CE">
        <w:t>Quotes must be submitted in electronic format only</w:t>
      </w:r>
      <w:r>
        <w:t>,</w:t>
      </w:r>
      <w:r w:rsidRPr="001510CE">
        <w:t xml:space="preserve"> in pdf format (or otherwise in a format compatible with Microsoft Office).</w:t>
      </w:r>
    </w:p>
    <w:p w14:paraId="1C79CAD9" w14:textId="2AE6EB83" w:rsidR="00E205E8" w:rsidRPr="002B11E6" w:rsidRDefault="00E205E8" w:rsidP="00E205E8">
      <w:pPr>
        <w:rPr>
          <w:b/>
          <w:sz w:val="24"/>
        </w:rPr>
      </w:pPr>
      <w:r w:rsidRPr="001510CE">
        <w:rPr>
          <w:b/>
        </w:rPr>
        <w:t xml:space="preserve">Quotes must be submitted </w:t>
      </w:r>
      <w:r>
        <w:rPr>
          <w:b/>
        </w:rPr>
        <w:t xml:space="preserve">by email to </w:t>
      </w:r>
      <w:hyperlink r:id="rId13" w:history="1">
        <w:r w:rsidRPr="00067A26">
          <w:rPr>
            <w:rStyle w:val="Hyperlink"/>
          </w:rPr>
          <w:t>troy.penno@cookislands.gov.ck</w:t>
        </w:r>
      </w:hyperlink>
      <w:r>
        <w:t xml:space="preserve"> </w:t>
      </w:r>
    </w:p>
    <w:p w14:paraId="076795BE" w14:textId="77777777" w:rsidR="00E205E8" w:rsidRPr="001510CE" w:rsidRDefault="00E205E8" w:rsidP="00E205E8">
      <w:pPr>
        <w:pStyle w:val="Heading3"/>
        <w:sectPr w:rsidR="00E205E8" w:rsidRPr="001510CE" w:rsidSect="006016AC">
          <w:headerReference w:type="default" r:id="rId14"/>
          <w:footerReference w:type="default" r:id="rId15"/>
          <w:footerReference w:type="first" r:id="rId16"/>
          <w:pgSz w:w="11906" w:h="16838" w:code="9"/>
          <w:pgMar w:top="1418" w:right="1418" w:bottom="1276" w:left="1418" w:header="567" w:footer="567" w:gutter="0"/>
          <w:cols w:space="708"/>
          <w:formProt w:val="0"/>
          <w:docGrid w:linePitch="360"/>
        </w:sectPr>
      </w:pPr>
    </w:p>
    <w:p w14:paraId="2BE84243" w14:textId="77777777" w:rsidR="00E205E8" w:rsidRPr="001510CE" w:rsidRDefault="00E205E8" w:rsidP="00E205E8">
      <w:pPr>
        <w:pStyle w:val="Conditionssubhead"/>
      </w:pPr>
      <w:r w:rsidRPr="001510CE">
        <w:t>Confidentiality</w:t>
      </w:r>
    </w:p>
    <w:p w14:paraId="0842CC93" w14:textId="77777777" w:rsidR="00E205E8" w:rsidRPr="001510CE" w:rsidRDefault="00E205E8" w:rsidP="00E205E8">
      <w:r w:rsidRPr="001510CE">
        <w:t xml:space="preserve">Respondents are advised that CIIC is subject to the Official Information Act 2008.  Respondents should mark their Quotes </w:t>
      </w:r>
      <w:r w:rsidRPr="00E205E8">
        <w:rPr>
          <w:b/>
          <w:bCs/>
        </w:rPr>
        <w:t>“Commercial - In Confidence”</w:t>
      </w:r>
      <w:r w:rsidRPr="001510CE">
        <w:t xml:space="preserve"> if they wish to protect specific information.  CIIC will treat all Quotes in confidence.  CIIC cannot however guarantee that information marked as Commercial – In Confidence can be protected if CIIC receives a request for information under the OIA.</w:t>
      </w:r>
    </w:p>
    <w:p w14:paraId="05AEDAC7" w14:textId="77777777" w:rsidR="00E205E8" w:rsidRPr="001510CE" w:rsidRDefault="00E205E8" w:rsidP="00E205E8">
      <w:pPr>
        <w:pStyle w:val="Conditionssubhead"/>
      </w:pPr>
      <w:r w:rsidRPr="001510CE">
        <w:t xml:space="preserve">The </w:t>
      </w:r>
      <w:r>
        <w:t>RFQ</w:t>
      </w:r>
      <w:r w:rsidRPr="001510CE">
        <w:t xml:space="preserve"> Process</w:t>
      </w:r>
    </w:p>
    <w:p w14:paraId="200BC0B0" w14:textId="77777777" w:rsidR="00E205E8" w:rsidRPr="001510CE" w:rsidRDefault="00E205E8" w:rsidP="00E205E8">
      <w:r w:rsidRPr="001510CE">
        <w:t>Each respondent shall examine, or be deemed to have examined, the Conditions of Quotes, Terms of Reference</w:t>
      </w:r>
      <w:r>
        <w:t>, draft Contract</w:t>
      </w:r>
      <w:r w:rsidRPr="001510CE">
        <w:t xml:space="preserve"> and any other information supplied by CIIC via </w:t>
      </w:r>
      <w:r>
        <w:t>email</w:t>
      </w:r>
      <w:r w:rsidRPr="001510CE">
        <w:t xml:space="preserve">. </w:t>
      </w:r>
    </w:p>
    <w:p w14:paraId="7DEBE2D8" w14:textId="77777777" w:rsidR="00E205E8" w:rsidRPr="001510CE" w:rsidRDefault="00E205E8" w:rsidP="00E205E8">
      <w:r w:rsidRPr="001510CE">
        <w:t xml:space="preserve">In submitting a Quote in response to this </w:t>
      </w:r>
      <w:r>
        <w:t>RFQ</w:t>
      </w:r>
      <w:r w:rsidRPr="001510CE">
        <w:t>, the respondent accepts and agrees to be bound by these Conditions of Quotes.</w:t>
      </w:r>
    </w:p>
    <w:p w14:paraId="5D6A8089" w14:textId="77777777" w:rsidR="00E205E8" w:rsidRPr="001510CE" w:rsidRDefault="00E205E8" w:rsidP="00E205E8">
      <w:r w:rsidRPr="001510CE">
        <w:t>All costs of preparing and submitting the Quote shall be borne by the respondent.</w:t>
      </w:r>
    </w:p>
    <w:p w14:paraId="59D20293" w14:textId="77777777" w:rsidR="00E205E8" w:rsidRPr="001510CE" w:rsidRDefault="00E205E8" w:rsidP="00E205E8">
      <w:r w:rsidRPr="005A3BFA">
        <w:t>CIIC reserves the right to change, suspend, cancel or reissue this RFQ, or the contents of the RFQ documentation at any time.</w:t>
      </w:r>
      <w:r w:rsidRPr="001510CE">
        <w:t xml:space="preserve">  </w:t>
      </w:r>
    </w:p>
    <w:p w14:paraId="68B9B670" w14:textId="77777777" w:rsidR="00E205E8" w:rsidRPr="001510CE" w:rsidRDefault="00E205E8" w:rsidP="00E205E8">
      <w:pPr>
        <w:rPr>
          <w:rFonts w:cs="Arial"/>
        </w:rPr>
      </w:pPr>
      <w:r w:rsidRPr="001510CE">
        <w:t>CIIC shall have no liability for any information it provides, or for any cost or loss to any respondent, in the event</w:t>
      </w:r>
      <w:r w:rsidRPr="001510CE">
        <w:rPr>
          <w:rFonts w:cs="Arial"/>
        </w:rPr>
        <w:t xml:space="preserve"> that this </w:t>
      </w:r>
      <w:r>
        <w:rPr>
          <w:rFonts w:cs="Arial"/>
        </w:rPr>
        <w:t>RFQ</w:t>
      </w:r>
      <w:r w:rsidRPr="001510CE">
        <w:rPr>
          <w:rFonts w:cs="Arial"/>
        </w:rPr>
        <w:t xml:space="preserve"> is cancelled, suspended, changed or reissued.</w:t>
      </w:r>
    </w:p>
    <w:p w14:paraId="3798DC40" w14:textId="77777777" w:rsidR="00E205E8" w:rsidRPr="001510CE" w:rsidRDefault="00E205E8" w:rsidP="00E205E8">
      <w:r w:rsidRPr="001510CE">
        <w:t xml:space="preserve">CIIC reserves the right to negotiate without restriction with respondents after the close of the </w:t>
      </w:r>
      <w:r>
        <w:t>RFQ</w:t>
      </w:r>
      <w:r w:rsidRPr="001510CE">
        <w:t xml:space="preserve"> on any matter contained in the Quote, without disclosing this to any other person.</w:t>
      </w:r>
    </w:p>
    <w:p w14:paraId="7E465CDC" w14:textId="77777777" w:rsidR="00E205E8" w:rsidRPr="001510CE" w:rsidRDefault="00E205E8" w:rsidP="00E205E8">
      <w:r w:rsidRPr="005A3BFA">
        <w:t>CIIC reserves the right to accept or reject any or all Quotes, at any time prior to any contract being awarded.</w:t>
      </w:r>
      <w:r w:rsidRPr="001510CE">
        <w:t xml:space="preserve"> </w:t>
      </w:r>
    </w:p>
    <w:p w14:paraId="6C656D6A" w14:textId="77777777" w:rsidR="00E205E8" w:rsidRPr="001510CE" w:rsidRDefault="00E205E8" w:rsidP="00E205E8">
      <w:pPr>
        <w:pStyle w:val="Conditionssubhead"/>
      </w:pPr>
      <w:r w:rsidRPr="001510CE">
        <w:t>Evaluation of Quotes</w:t>
      </w:r>
    </w:p>
    <w:p w14:paraId="0A236157" w14:textId="77777777" w:rsidR="00E205E8" w:rsidRPr="001510CE" w:rsidRDefault="00E205E8" w:rsidP="00E205E8">
      <w:r w:rsidRPr="001510CE">
        <w:t xml:space="preserve">CIIC </w:t>
      </w:r>
      <w:r>
        <w:t>may</w:t>
      </w:r>
      <w:r w:rsidRPr="001510CE">
        <w:t xml:space="preserve"> request additional information from any respondent </w:t>
      </w:r>
      <w:r>
        <w:t xml:space="preserve">or referee for the purpose of evaluating quotes. </w:t>
      </w:r>
    </w:p>
    <w:p w14:paraId="0A59F464" w14:textId="77777777" w:rsidR="00E205E8" w:rsidRPr="001510CE" w:rsidRDefault="00E205E8" w:rsidP="00E205E8">
      <w:r w:rsidRPr="001510CE">
        <w:t>Each respondent shall be notified in writing as to whether or not it has been selected as the preferred Respondent as soon as possible.  No Quote shall be deemed to be accepted unless and until the respondent has been notified by CIIC in writing.</w:t>
      </w:r>
    </w:p>
    <w:p w14:paraId="38015321" w14:textId="77777777" w:rsidR="00E205E8" w:rsidRPr="001510CE" w:rsidRDefault="00E205E8" w:rsidP="00E205E8">
      <w:r w:rsidRPr="001510CE">
        <w:lastRenderedPageBreak/>
        <w:t>CIIC reserves its absolute discretion in the evaluation and selection process.</w:t>
      </w:r>
    </w:p>
    <w:p w14:paraId="25DEF8AC" w14:textId="77777777" w:rsidR="00E205E8" w:rsidRPr="001510CE" w:rsidRDefault="00E205E8" w:rsidP="00E205E8">
      <w:pPr>
        <w:pStyle w:val="Conditionssubhead"/>
      </w:pPr>
      <w:r w:rsidRPr="001510CE">
        <w:t xml:space="preserve">Subject to Contract </w:t>
      </w:r>
    </w:p>
    <w:p w14:paraId="75F6B699" w14:textId="77777777" w:rsidR="00E205E8" w:rsidRPr="001510CE" w:rsidRDefault="00E205E8" w:rsidP="00E205E8">
      <w:r w:rsidRPr="001510CE">
        <w:t>Quotes are submitted on the basis that no binding legal relations with CIIC are created unless and until a formal written contract is signed by both CIIC and the successful respondent.</w:t>
      </w:r>
    </w:p>
    <w:p w14:paraId="14C7FCCD" w14:textId="77777777" w:rsidR="00E205E8" w:rsidRPr="001510CE" w:rsidRDefault="00E205E8" w:rsidP="00E205E8">
      <w:r w:rsidRPr="001510CE">
        <w:t>The acceptance by CIIC of any Quote, whether with or without negotiation, or the negotiation with an unsuccessful respondent, shall not create binding legal relations between CIIC and the party whose Quote has been accepted or which is negotiating with CIIC.</w:t>
      </w:r>
    </w:p>
    <w:p w14:paraId="573A09A1" w14:textId="77777777" w:rsidR="00E205E8" w:rsidRPr="001510CE" w:rsidRDefault="00E205E8" w:rsidP="00E205E8">
      <w:r w:rsidRPr="001510CE">
        <w:t>If, in the opinion of CIIC, and at CIIC’s sole discretion, none of the Quotes submitted are acceptable, CIIC reserves the right to enter into negotiations with one or more of the respondents for a satisfactory offer.</w:t>
      </w:r>
    </w:p>
    <w:p w14:paraId="6890586D" w14:textId="77777777" w:rsidR="00E205E8" w:rsidRPr="001510CE" w:rsidRDefault="00E205E8" w:rsidP="00E205E8">
      <w:pPr>
        <w:pStyle w:val="Conditionssubhead"/>
      </w:pPr>
      <w:r w:rsidRPr="001510CE">
        <w:t>Governing law</w:t>
      </w:r>
    </w:p>
    <w:p w14:paraId="049D3FDE" w14:textId="77777777" w:rsidR="00E205E8" w:rsidRPr="001510CE" w:rsidRDefault="00E205E8" w:rsidP="00E205E8">
      <w:r w:rsidRPr="001510CE">
        <w:t xml:space="preserve">This </w:t>
      </w:r>
      <w:r>
        <w:t>RFQ</w:t>
      </w:r>
      <w:r w:rsidRPr="001510CE">
        <w:t xml:space="preserve"> is governed by Cook Islands law, and the Cook Islands courts have exclusive jurisdiction to all matters relating to this </w:t>
      </w:r>
      <w:r>
        <w:t>RFQ</w:t>
      </w:r>
      <w:r w:rsidRPr="001510CE">
        <w:t>.</w:t>
      </w:r>
    </w:p>
    <w:p w14:paraId="1FA7DB34" w14:textId="77777777" w:rsidR="00E205E8" w:rsidRPr="001510CE" w:rsidRDefault="00E205E8" w:rsidP="00E205E8">
      <w:pPr>
        <w:pStyle w:val="Conditionssubhead"/>
      </w:pPr>
      <w:r w:rsidRPr="001510CE">
        <w:t>Contract Negotiations</w:t>
      </w:r>
    </w:p>
    <w:p w14:paraId="05910C2C" w14:textId="77777777" w:rsidR="00E205E8" w:rsidRPr="001510CE" w:rsidRDefault="00E205E8" w:rsidP="00E205E8">
      <w:r w:rsidRPr="001510CE">
        <w:t>Both parties agree to negotiate in good faith, and on successful conclusion of</w:t>
      </w:r>
      <w:r>
        <w:t xml:space="preserve"> </w:t>
      </w:r>
      <w:r w:rsidRPr="001510CE">
        <w:t>negotiations the preferred Respondent will sign a formal contract with CIIC.</w:t>
      </w:r>
    </w:p>
    <w:p w14:paraId="288CA2E4" w14:textId="77777777" w:rsidR="00E205E8" w:rsidRPr="001510CE" w:rsidRDefault="00E205E8" w:rsidP="00E205E8">
      <w:r w:rsidRPr="001510CE">
        <w:t>A contract may be extended if additional work is required, at CIICs sole discretion.</w:t>
      </w:r>
    </w:p>
    <w:p w14:paraId="3651D36E" w14:textId="77777777" w:rsidR="00E205E8" w:rsidRPr="001510CE" w:rsidRDefault="00E205E8" w:rsidP="00E205E8">
      <w:pPr>
        <w:pStyle w:val="Conditionssubhead"/>
      </w:pPr>
      <w:r w:rsidRPr="001510CE">
        <w:t>Non-Resident businesses</w:t>
      </w:r>
    </w:p>
    <w:p w14:paraId="7C28EB30" w14:textId="77777777" w:rsidR="00E205E8" w:rsidRPr="001510CE" w:rsidRDefault="00E205E8" w:rsidP="00E205E8">
      <w:r w:rsidRPr="001510CE">
        <w:t xml:space="preserve">In order for foreign companies to carry out business in the Cook Islands, an application for, and approval, must be sought from the Business Trade Investment Board (BTIB). Any fees associated with the registration are to be covered by the </w:t>
      </w:r>
      <w:r>
        <w:t>successful C</w:t>
      </w:r>
      <w:r w:rsidRPr="001510CE">
        <w:t xml:space="preserve">onsultant. Respondents should inform themselves of the registration process and confirm in their Quote that they are willing to register once a Letter of Acceptance is issued. Information can be found at </w:t>
      </w:r>
      <w:hyperlink r:id="rId17" w:history="1">
        <w:r w:rsidRPr="001510CE">
          <w:rPr>
            <w:rStyle w:val="Hyperlink"/>
          </w:rPr>
          <w:t>www.btib.gov.ck</w:t>
        </w:r>
      </w:hyperlink>
      <w:r w:rsidRPr="001510CE">
        <w:t xml:space="preserve">.    </w:t>
      </w:r>
    </w:p>
    <w:p w14:paraId="48D39489" w14:textId="77777777" w:rsidR="00E205E8" w:rsidRPr="00AA77A4" w:rsidRDefault="00E205E8" w:rsidP="00E205E8">
      <w:pPr>
        <w:pStyle w:val="Conditionssubhead"/>
      </w:pPr>
      <w:r w:rsidRPr="00AA77A4">
        <w:t>Cook Islands Tax Laws</w:t>
      </w:r>
    </w:p>
    <w:p w14:paraId="77F62E99" w14:textId="77777777" w:rsidR="00E205E8" w:rsidRPr="001510CE" w:rsidRDefault="00E205E8" w:rsidP="00E205E8">
      <w:pPr>
        <w:pStyle w:val="08NormalTextSpiire"/>
        <w:sectPr w:rsidR="00E205E8" w:rsidRPr="001510CE" w:rsidSect="006016AC">
          <w:type w:val="continuous"/>
          <w:pgSz w:w="11906" w:h="16838" w:code="9"/>
          <w:pgMar w:top="1418" w:right="1418" w:bottom="1418" w:left="1418" w:header="567" w:footer="567" w:gutter="0"/>
          <w:cols w:space="708"/>
          <w:docGrid w:linePitch="360"/>
        </w:sectPr>
      </w:pPr>
      <w:r w:rsidRPr="001510CE">
        <w:t xml:space="preserve">Respondents should inform themselves of the Cook Islands tax laws including Value Added Tax (VAT) </w:t>
      </w:r>
      <w:r>
        <w:t xml:space="preserve">applicable to </w:t>
      </w:r>
      <w:r w:rsidRPr="001510CE">
        <w:t xml:space="preserve">businesses registered </w:t>
      </w:r>
      <w:r>
        <w:t>in the Cook Islands</w:t>
      </w:r>
      <w:r w:rsidRPr="001510CE">
        <w:t xml:space="preserve">, and non-resident withholding taxes applicable to </w:t>
      </w:r>
      <w:r>
        <w:t xml:space="preserve">foreign businesses for </w:t>
      </w:r>
      <w:r w:rsidRPr="001510CE">
        <w:t xml:space="preserve">services delivered externally of the Cook Islands. </w:t>
      </w:r>
    </w:p>
    <w:p w14:paraId="715C4CF1" w14:textId="6FECB870" w:rsidR="001D798D" w:rsidRPr="00777D3A" w:rsidRDefault="00325272" w:rsidP="00777D3A">
      <w:pPr>
        <w:pStyle w:val="Title"/>
      </w:pPr>
      <w:r w:rsidRPr="00777D3A">
        <w:lastRenderedPageBreak/>
        <w:t>Terms of Reference</w:t>
      </w:r>
    </w:p>
    <w:p w14:paraId="7D00A5AB" w14:textId="77777777" w:rsidR="009B784B" w:rsidRDefault="0013063E" w:rsidP="00777D3A">
      <w:pPr>
        <w:pStyle w:val="Title"/>
        <w:rPr>
          <w:rStyle w:val="IntenseEmphasis"/>
          <w:i w:val="0"/>
          <w:color w:val="auto"/>
        </w:rPr>
      </w:pPr>
      <w:r w:rsidRPr="0013063E">
        <w:rPr>
          <w:rStyle w:val="IntenseEmphasis"/>
          <w:i w:val="0"/>
          <w:color w:val="auto"/>
        </w:rPr>
        <w:t>2029 Pacific Mini Games</w:t>
      </w:r>
      <w:r>
        <w:rPr>
          <w:rStyle w:val="IntenseEmphasis"/>
          <w:i w:val="0"/>
          <w:color w:val="auto"/>
        </w:rPr>
        <w:t xml:space="preserve"> </w:t>
      </w:r>
      <w:r w:rsidR="009B784B">
        <w:rPr>
          <w:rStyle w:val="IntenseEmphasis"/>
          <w:i w:val="0"/>
          <w:color w:val="auto"/>
        </w:rPr>
        <w:t xml:space="preserve">Infrastructure Programme </w:t>
      </w:r>
    </w:p>
    <w:p w14:paraId="1CE09586" w14:textId="637A84DA" w:rsidR="0013063E" w:rsidRDefault="0013063E" w:rsidP="00777D3A">
      <w:pPr>
        <w:pStyle w:val="Title"/>
        <w:rPr>
          <w:rStyle w:val="IntenseEmphasis"/>
          <w:i w:val="0"/>
          <w:color w:val="auto"/>
        </w:rPr>
      </w:pPr>
      <w:r>
        <w:rPr>
          <w:rStyle w:val="IntenseEmphasis"/>
          <w:i w:val="0"/>
          <w:color w:val="auto"/>
        </w:rPr>
        <w:t xml:space="preserve">- </w:t>
      </w:r>
      <w:r w:rsidR="00BE7D04">
        <w:rPr>
          <w:rStyle w:val="IntenseEmphasis"/>
          <w:i w:val="0"/>
          <w:color w:val="auto"/>
        </w:rPr>
        <w:t>Technical Advisor – Venue Assessment &amp; Scoping</w:t>
      </w:r>
      <w:r w:rsidRPr="0013063E">
        <w:rPr>
          <w:rStyle w:val="IntenseEmphasis"/>
          <w:i w:val="0"/>
          <w:color w:val="auto"/>
        </w:rPr>
        <w:t xml:space="preserve"> </w:t>
      </w:r>
    </w:p>
    <w:p w14:paraId="6ED4E7A8" w14:textId="77777777" w:rsidR="001D798D" w:rsidRPr="0070001B" w:rsidRDefault="00325272" w:rsidP="00777D3A">
      <w:pPr>
        <w:pStyle w:val="Title"/>
        <w:rPr>
          <w:rStyle w:val="IntenseEmphasis"/>
          <w:i w:val="0"/>
          <w:color w:val="auto"/>
        </w:rPr>
      </w:pPr>
      <w:r w:rsidRPr="0070001B">
        <w:rPr>
          <w:rStyle w:val="IntenseEmphasis"/>
          <w:i w:val="0"/>
          <w:color w:val="auto"/>
        </w:rPr>
        <w:t>(Consultancy Contract)</w:t>
      </w:r>
    </w:p>
    <w:p w14:paraId="16F4A0A1" w14:textId="77777777" w:rsidR="001D798D" w:rsidRDefault="00325272" w:rsidP="00D926EE">
      <w:pPr>
        <w:pStyle w:val="Heading1"/>
      </w:pPr>
      <w:r>
        <w:t>Background</w:t>
      </w:r>
    </w:p>
    <w:p w14:paraId="04D231CF" w14:textId="77777777" w:rsidR="00FF1850" w:rsidRPr="00FF1850" w:rsidRDefault="00FF1850" w:rsidP="00FF1850">
      <w:pPr>
        <w:pStyle w:val="Heading1"/>
        <w:rPr>
          <w:rFonts w:ascii="Calibri" w:eastAsiaTheme="minorEastAsia" w:hAnsi="Calibri" w:cs="Calibri"/>
          <w:color w:val="auto"/>
          <w:sz w:val="22"/>
          <w:szCs w:val="22"/>
          <w:lang w:val="en-US" w:bidi="ar-SA"/>
        </w:rPr>
      </w:pPr>
      <w:r w:rsidRPr="00FF1850">
        <w:rPr>
          <w:rFonts w:ascii="Calibri" w:eastAsiaTheme="minorEastAsia" w:hAnsi="Calibri" w:cs="Calibri"/>
          <w:color w:val="auto"/>
          <w:sz w:val="22"/>
          <w:szCs w:val="22"/>
          <w:lang w:val="en-US" w:bidi="ar-SA"/>
        </w:rPr>
        <w:t>The Cook Islands Investment Corporation (CIIC) is leading the infrastructure scoping and pre-feasibility programme for the 2029 Pacific Mini Games (PMG). The programme requires structured assessment of accommodation, dining, training, and competition venues across Rarotonga to inform investment decisions and requisite approvals.</w:t>
      </w:r>
    </w:p>
    <w:p w14:paraId="6F869EDF" w14:textId="77777777" w:rsidR="00FF1850" w:rsidRDefault="00FF1850" w:rsidP="00FF1850">
      <w:pPr>
        <w:pStyle w:val="Heading1"/>
        <w:rPr>
          <w:rFonts w:ascii="Calibri" w:eastAsiaTheme="minorEastAsia" w:hAnsi="Calibri" w:cs="Calibri"/>
          <w:color w:val="auto"/>
          <w:sz w:val="22"/>
          <w:szCs w:val="22"/>
          <w:lang w:val="en-US" w:bidi="ar-SA"/>
        </w:rPr>
      </w:pPr>
      <w:r w:rsidRPr="00FF1850">
        <w:rPr>
          <w:rFonts w:ascii="Calibri" w:eastAsiaTheme="minorEastAsia" w:hAnsi="Calibri" w:cs="Calibri"/>
          <w:color w:val="auto"/>
          <w:sz w:val="22"/>
          <w:szCs w:val="22"/>
          <w:lang w:val="en-US" w:bidi="ar-SA"/>
        </w:rPr>
        <w:t>CIIC's Asset Management Division will lead delivery of the programme (accommodation and dining facilities, community sports training venues and competition venues), supported by CIIC personnel. A Technical Advisor (TA) is required to provide the specialist technical capability needed to produce assessment outputs to the standard required.</w:t>
      </w:r>
    </w:p>
    <w:p w14:paraId="04E0F5EB" w14:textId="47C51A16" w:rsidR="001D798D" w:rsidRDefault="00325272" w:rsidP="00FF1850">
      <w:pPr>
        <w:pStyle w:val="Heading1"/>
      </w:pPr>
      <w:r>
        <w:t>Objective</w:t>
      </w:r>
    </w:p>
    <w:p w14:paraId="52ED7DE0" w14:textId="77777777" w:rsidR="00FF1850" w:rsidRDefault="00FF1850" w:rsidP="00D926EE">
      <w:pPr>
        <w:pStyle w:val="Heading1"/>
        <w:rPr>
          <w:rFonts w:ascii="Calibri" w:eastAsiaTheme="minorEastAsia" w:hAnsi="Calibri" w:cs="Calibri"/>
          <w:color w:val="auto"/>
          <w:sz w:val="22"/>
          <w:szCs w:val="22"/>
          <w:lang w:val="en-US" w:bidi="ar-SA"/>
        </w:rPr>
      </w:pPr>
      <w:r w:rsidRPr="00FF1850">
        <w:rPr>
          <w:rFonts w:ascii="Calibri" w:eastAsiaTheme="minorEastAsia" w:hAnsi="Calibri" w:cs="Calibri"/>
          <w:color w:val="auto"/>
          <w:sz w:val="22"/>
          <w:szCs w:val="22"/>
          <w:lang w:val="en-US" w:bidi="ar-SA"/>
        </w:rPr>
        <w:t>The objective of this engagement is to provide technical advisory support in completing structured venue assessments across the 2029 PMG scoping programme. The TA will work directly with CIIC personnel to ensure assessment outputs are technically sound, consistently applied and suitable for use in preparing cost estimates and options assessments.</w:t>
      </w:r>
    </w:p>
    <w:p w14:paraId="33FEDA5F" w14:textId="0F0BCE14" w:rsidR="001D798D" w:rsidRDefault="00325272" w:rsidP="00D926EE">
      <w:pPr>
        <w:pStyle w:val="Heading1"/>
      </w:pPr>
      <w:r>
        <w:t>Scope of Services &amp; Deliverables</w:t>
      </w:r>
    </w:p>
    <w:p w14:paraId="08AB5011" w14:textId="77777777" w:rsidR="00977300" w:rsidRPr="00BE7D04" w:rsidRDefault="00977300" w:rsidP="00977300">
      <w:pPr>
        <w:rPr>
          <w:rStyle w:val="Strong"/>
        </w:rPr>
      </w:pPr>
      <w:r w:rsidRPr="00BE7D04">
        <w:rPr>
          <w:rStyle w:val="Strong"/>
        </w:rPr>
        <w:t>Part 1: Methodology Development</w:t>
      </w:r>
    </w:p>
    <w:p w14:paraId="0266610E" w14:textId="5E7B31F6" w:rsidR="00FF1850" w:rsidRPr="00FF1850" w:rsidRDefault="00FF1850" w:rsidP="00FF1850">
      <w:pPr>
        <w:rPr>
          <w:lang w:val="en-CK"/>
        </w:rPr>
      </w:pPr>
      <w:r w:rsidRPr="00FF1850">
        <w:rPr>
          <w:lang w:val="en-CK"/>
        </w:rPr>
        <w:t xml:space="preserve">Prior to commencing fieldwork, the TA shall develop or adapt assessment frameworks for use across all venue types. The TA </w:t>
      </w:r>
      <w:r w:rsidRPr="00FF1850">
        <w:t xml:space="preserve">with CIIC </w:t>
      </w:r>
      <w:r w:rsidRPr="00FF1850">
        <w:rPr>
          <w:lang w:val="en-CK"/>
        </w:rPr>
        <w:t>shall develop frameworks covering:</w:t>
      </w:r>
    </w:p>
    <w:tbl>
      <w:tblPr>
        <w:tblStyle w:val="GridTable1Light-Accent1"/>
        <w:tblW w:w="9360" w:type="dxa"/>
        <w:tblLook w:val="04A0" w:firstRow="1" w:lastRow="0" w:firstColumn="1" w:lastColumn="0" w:noHBand="0" w:noVBand="1"/>
      </w:tblPr>
      <w:tblGrid>
        <w:gridCol w:w="3000"/>
        <w:gridCol w:w="6360"/>
      </w:tblGrid>
      <w:tr w:rsidR="00FF1850" w:rsidRPr="00BE7D04" w14:paraId="5FCBA920" w14:textId="77777777" w:rsidTr="00FF1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dxa"/>
          </w:tcPr>
          <w:p w14:paraId="2CA60CDC" w14:textId="77777777" w:rsidR="00FF1850" w:rsidRPr="00FF1850" w:rsidRDefault="00FF1850" w:rsidP="00FF1850">
            <w:pPr>
              <w:spacing w:after="200" w:line="276" w:lineRule="auto"/>
              <w:rPr>
                <w:color w:val="000000" w:themeColor="text1"/>
                <w:lang w:val="en-CK"/>
              </w:rPr>
            </w:pPr>
            <w:r w:rsidRPr="00FF1850">
              <w:rPr>
                <w:color w:val="000000" w:themeColor="text1"/>
                <w:lang w:val="en-CK"/>
              </w:rPr>
              <w:t>Assessment Area</w:t>
            </w:r>
          </w:p>
        </w:tc>
        <w:tc>
          <w:tcPr>
            <w:tcW w:w="6360" w:type="dxa"/>
          </w:tcPr>
          <w:p w14:paraId="7948254B" w14:textId="77777777" w:rsidR="00FF1850" w:rsidRPr="00FF1850" w:rsidRDefault="00FF1850" w:rsidP="00FF1850">
            <w:pPr>
              <w:spacing w:after="200" w:line="276" w:lineRule="auto"/>
              <w:cnfStyle w:val="100000000000" w:firstRow="1" w:lastRow="0" w:firstColumn="0" w:lastColumn="0" w:oddVBand="0" w:evenVBand="0" w:oddHBand="0" w:evenHBand="0" w:firstRowFirstColumn="0" w:firstRowLastColumn="0" w:lastRowFirstColumn="0" w:lastRowLastColumn="0"/>
              <w:rPr>
                <w:color w:val="000000" w:themeColor="text1"/>
                <w:lang w:val="en-CK"/>
              </w:rPr>
            </w:pPr>
            <w:r w:rsidRPr="00FF1850">
              <w:rPr>
                <w:color w:val="000000" w:themeColor="text1"/>
                <w:lang w:val="en-CK"/>
              </w:rPr>
              <w:t>Description</w:t>
            </w:r>
          </w:p>
        </w:tc>
      </w:tr>
      <w:tr w:rsidR="00FF1850" w:rsidRPr="00FF1850" w14:paraId="18103D74" w14:textId="77777777" w:rsidTr="00FF1850">
        <w:tc>
          <w:tcPr>
            <w:cnfStyle w:val="001000000000" w:firstRow="0" w:lastRow="0" w:firstColumn="1" w:lastColumn="0" w:oddVBand="0" w:evenVBand="0" w:oddHBand="0" w:evenHBand="0" w:firstRowFirstColumn="0" w:firstRowLastColumn="0" w:lastRowFirstColumn="0" w:lastRowLastColumn="0"/>
            <w:tcW w:w="3000" w:type="dxa"/>
          </w:tcPr>
          <w:p w14:paraId="23242CA2" w14:textId="77777777" w:rsidR="00FF1850" w:rsidRPr="00FF1850" w:rsidRDefault="00FF1850" w:rsidP="00FF1850">
            <w:pPr>
              <w:spacing w:after="200" w:line="276" w:lineRule="auto"/>
              <w:rPr>
                <w:lang w:val="en-CK"/>
              </w:rPr>
            </w:pPr>
            <w:r w:rsidRPr="00FF1850">
              <w:rPr>
                <w:lang w:val="en-CK"/>
              </w:rPr>
              <w:t>Climate Resilience</w:t>
            </w:r>
          </w:p>
        </w:tc>
        <w:tc>
          <w:tcPr>
            <w:tcW w:w="6360" w:type="dxa"/>
          </w:tcPr>
          <w:p w14:paraId="3DD10DEE" w14:textId="77777777" w:rsidR="00FF1850" w:rsidRPr="00FF1850" w:rsidRDefault="00FF1850" w:rsidP="00FF1850">
            <w:pPr>
              <w:spacing w:after="200" w:line="276" w:lineRule="auto"/>
              <w:cnfStyle w:val="000000000000" w:firstRow="0" w:lastRow="0" w:firstColumn="0" w:lastColumn="0" w:oddVBand="0" w:evenVBand="0" w:oddHBand="0" w:evenHBand="0" w:firstRowFirstColumn="0" w:firstRowLastColumn="0" w:lastRowFirstColumn="0" w:lastRowLastColumn="0"/>
              <w:rPr>
                <w:lang w:val="en-CK"/>
              </w:rPr>
            </w:pPr>
            <w:r w:rsidRPr="00FF1850">
              <w:rPr>
                <w:lang w:val="en-CK"/>
              </w:rPr>
              <w:t>Existing CIIC methodology — adapt for venue application</w:t>
            </w:r>
          </w:p>
        </w:tc>
      </w:tr>
      <w:tr w:rsidR="00FF1850" w:rsidRPr="00FF1850" w14:paraId="27723683" w14:textId="77777777" w:rsidTr="00FF1850">
        <w:tc>
          <w:tcPr>
            <w:cnfStyle w:val="001000000000" w:firstRow="0" w:lastRow="0" w:firstColumn="1" w:lastColumn="0" w:oddVBand="0" w:evenVBand="0" w:oddHBand="0" w:evenHBand="0" w:firstRowFirstColumn="0" w:firstRowLastColumn="0" w:lastRowFirstColumn="0" w:lastRowLastColumn="0"/>
            <w:tcW w:w="3000" w:type="dxa"/>
          </w:tcPr>
          <w:p w14:paraId="42124463" w14:textId="77777777" w:rsidR="00FF1850" w:rsidRPr="00FF1850" w:rsidRDefault="00FF1850" w:rsidP="00FF1850">
            <w:pPr>
              <w:spacing w:after="200" w:line="276" w:lineRule="auto"/>
              <w:rPr>
                <w:lang w:val="en-CK"/>
              </w:rPr>
            </w:pPr>
            <w:r w:rsidRPr="00FF1850">
              <w:rPr>
                <w:lang w:val="en-CK"/>
              </w:rPr>
              <w:t>Accessibility</w:t>
            </w:r>
          </w:p>
        </w:tc>
        <w:tc>
          <w:tcPr>
            <w:tcW w:w="6360" w:type="dxa"/>
          </w:tcPr>
          <w:p w14:paraId="51D65B1D" w14:textId="77777777" w:rsidR="00FF1850" w:rsidRPr="00FF1850" w:rsidRDefault="00FF1850" w:rsidP="00FF1850">
            <w:pPr>
              <w:spacing w:after="200" w:line="276" w:lineRule="auto"/>
              <w:cnfStyle w:val="000000000000" w:firstRow="0" w:lastRow="0" w:firstColumn="0" w:lastColumn="0" w:oddVBand="0" w:evenVBand="0" w:oddHBand="0" w:evenHBand="0" w:firstRowFirstColumn="0" w:firstRowLastColumn="0" w:lastRowFirstColumn="0" w:lastRowLastColumn="0"/>
              <w:rPr>
                <w:lang w:val="en-CK"/>
              </w:rPr>
            </w:pPr>
            <w:r w:rsidRPr="00FF1850">
              <w:rPr>
                <w:lang w:val="en-CK"/>
              </w:rPr>
              <w:t>Assessment against NZ accessibility standards — entries, amenities, circulation, spectator areas</w:t>
            </w:r>
          </w:p>
        </w:tc>
      </w:tr>
      <w:tr w:rsidR="00FF1850" w:rsidRPr="00FF1850" w14:paraId="62621512" w14:textId="77777777" w:rsidTr="00FF1850">
        <w:tc>
          <w:tcPr>
            <w:cnfStyle w:val="001000000000" w:firstRow="0" w:lastRow="0" w:firstColumn="1" w:lastColumn="0" w:oddVBand="0" w:evenVBand="0" w:oddHBand="0" w:evenHBand="0" w:firstRowFirstColumn="0" w:firstRowLastColumn="0" w:lastRowFirstColumn="0" w:lastRowLastColumn="0"/>
            <w:tcW w:w="3000" w:type="dxa"/>
          </w:tcPr>
          <w:p w14:paraId="63A2044C" w14:textId="77777777" w:rsidR="00FF1850" w:rsidRPr="00FF1850" w:rsidRDefault="00FF1850" w:rsidP="00FF1850">
            <w:pPr>
              <w:spacing w:after="200" w:line="276" w:lineRule="auto"/>
              <w:rPr>
                <w:lang w:val="en-CK"/>
              </w:rPr>
            </w:pPr>
            <w:r w:rsidRPr="00FF1850">
              <w:rPr>
                <w:lang w:val="en-CK"/>
              </w:rPr>
              <w:t>Building Compliance &amp; Safety</w:t>
            </w:r>
          </w:p>
        </w:tc>
        <w:tc>
          <w:tcPr>
            <w:tcW w:w="6360" w:type="dxa"/>
          </w:tcPr>
          <w:p w14:paraId="598BC71A" w14:textId="77777777" w:rsidR="00FF1850" w:rsidRPr="00FF1850" w:rsidRDefault="00FF1850" w:rsidP="00FF1850">
            <w:pPr>
              <w:spacing w:after="200" w:line="276" w:lineRule="auto"/>
              <w:cnfStyle w:val="000000000000" w:firstRow="0" w:lastRow="0" w:firstColumn="0" w:lastColumn="0" w:oddVBand="0" w:evenVBand="0" w:oddHBand="0" w:evenHBand="0" w:firstRowFirstColumn="0" w:firstRowLastColumn="0" w:lastRowFirstColumn="0" w:lastRowLastColumn="0"/>
              <w:rPr>
                <w:lang w:val="en-CK"/>
              </w:rPr>
            </w:pPr>
            <w:r w:rsidRPr="00FF1850">
              <w:rPr>
                <w:lang w:val="en-CK"/>
              </w:rPr>
              <w:t>Structural, fire, electrical, and sanitation compliance checklist</w:t>
            </w:r>
          </w:p>
        </w:tc>
      </w:tr>
      <w:tr w:rsidR="00FF1850" w:rsidRPr="00FF1850" w14:paraId="1B38943A" w14:textId="77777777" w:rsidTr="00FF1850">
        <w:tc>
          <w:tcPr>
            <w:cnfStyle w:val="001000000000" w:firstRow="0" w:lastRow="0" w:firstColumn="1" w:lastColumn="0" w:oddVBand="0" w:evenVBand="0" w:oddHBand="0" w:evenHBand="0" w:firstRowFirstColumn="0" w:firstRowLastColumn="0" w:lastRowFirstColumn="0" w:lastRowLastColumn="0"/>
            <w:tcW w:w="3000" w:type="dxa"/>
          </w:tcPr>
          <w:p w14:paraId="67CF5191" w14:textId="77777777" w:rsidR="00FF1850" w:rsidRPr="00FF1850" w:rsidRDefault="00FF1850" w:rsidP="00FF1850">
            <w:pPr>
              <w:spacing w:after="200" w:line="276" w:lineRule="auto"/>
              <w:rPr>
                <w:lang w:val="en-CK"/>
              </w:rPr>
            </w:pPr>
            <w:r w:rsidRPr="00FF1850">
              <w:rPr>
                <w:lang w:val="en-CK"/>
              </w:rPr>
              <w:t>Capacity &amp; Fitness for Purpose</w:t>
            </w:r>
          </w:p>
        </w:tc>
        <w:tc>
          <w:tcPr>
            <w:tcW w:w="6360" w:type="dxa"/>
          </w:tcPr>
          <w:p w14:paraId="17791573" w14:textId="77777777" w:rsidR="00FF1850" w:rsidRPr="00FF1850" w:rsidRDefault="00FF1850" w:rsidP="00FF1850">
            <w:pPr>
              <w:spacing w:after="200" w:line="276" w:lineRule="auto"/>
              <w:cnfStyle w:val="000000000000" w:firstRow="0" w:lastRow="0" w:firstColumn="0" w:lastColumn="0" w:oddVBand="0" w:evenVBand="0" w:oddHBand="0" w:evenHBand="0" w:firstRowFirstColumn="0" w:firstRowLastColumn="0" w:lastRowFirstColumn="0" w:lastRowLastColumn="0"/>
              <w:rPr>
                <w:lang w:val="en-CK"/>
              </w:rPr>
            </w:pPr>
            <w:r w:rsidRPr="00FF1850">
              <w:rPr>
                <w:lang w:val="en-CK"/>
              </w:rPr>
              <w:t>Occupancy benchmarks for athletes, officials, and support staff — sleep, dining, and ablution ratios</w:t>
            </w:r>
          </w:p>
        </w:tc>
      </w:tr>
      <w:tr w:rsidR="00FF1850" w:rsidRPr="00FF1850" w14:paraId="2F5A6F9E" w14:textId="77777777" w:rsidTr="00FF1850">
        <w:tc>
          <w:tcPr>
            <w:cnfStyle w:val="001000000000" w:firstRow="0" w:lastRow="0" w:firstColumn="1" w:lastColumn="0" w:oddVBand="0" w:evenVBand="0" w:oddHBand="0" w:evenHBand="0" w:firstRowFirstColumn="0" w:firstRowLastColumn="0" w:lastRowFirstColumn="0" w:lastRowLastColumn="0"/>
            <w:tcW w:w="3000" w:type="dxa"/>
          </w:tcPr>
          <w:p w14:paraId="649B386E" w14:textId="77777777" w:rsidR="00FF1850" w:rsidRPr="00FF1850" w:rsidRDefault="00FF1850" w:rsidP="00FF1850">
            <w:pPr>
              <w:spacing w:after="200" w:line="276" w:lineRule="auto"/>
              <w:rPr>
                <w:lang w:val="en-CK"/>
              </w:rPr>
            </w:pPr>
            <w:r w:rsidRPr="00FF1850">
              <w:rPr>
                <w:lang w:val="en-CK"/>
              </w:rPr>
              <w:t>Operational Readiness</w:t>
            </w:r>
          </w:p>
        </w:tc>
        <w:tc>
          <w:tcPr>
            <w:tcW w:w="6360" w:type="dxa"/>
          </w:tcPr>
          <w:p w14:paraId="31D0B91E" w14:textId="77777777" w:rsidR="00FF1850" w:rsidRPr="00FF1850" w:rsidRDefault="00FF1850" w:rsidP="00FF1850">
            <w:pPr>
              <w:spacing w:after="200" w:line="276" w:lineRule="auto"/>
              <w:cnfStyle w:val="000000000000" w:firstRow="0" w:lastRow="0" w:firstColumn="0" w:lastColumn="0" w:oddVBand="0" w:evenVBand="0" w:oddHBand="0" w:evenHBand="0" w:firstRowFirstColumn="0" w:firstRowLastColumn="0" w:lastRowFirstColumn="0" w:lastRowLastColumn="0"/>
              <w:rPr>
                <w:lang w:val="en-CK"/>
              </w:rPr>
            </w:pPr>
            <w:r w:rsidRPr="00FF1850">
              <w:rPr>
                <w:lang w:val="en-CK"/>
              </w:rPr>
              <w:t>Service level criteria — kitchens, laundry, internet, security, waste management</w:t>
            </w:r>
          </w:p>
        </w:tc>
      </w:tr>
      <w:tr w:rsidR="00FF1850" w:rsidRPr="00FF1850" w14:paraId="029EB6C9" w14:textId="77777777" w:rsidTr="00FF1850">
        <w:tc>
          <w:tcPr>
            <w:cnfStyle w:val="001000000000" w:firstRow="0" w:lastRow="0" w:firstColumn="1" w:lastColumn="0" w:oddVBand="0" w:evenVBand="0" w:oddHBand="0" w:evenHBand="0" w:firstRowFirstColumn="0" w:firstRowLastColumn="0" w:lastRowFirstColumn="0" w:lastRowLastColumn="0"/>
            <w:tcW w:w="3000" w:type="dxa"/>
          </w:tcPr>
          <w:p w14:paraId="3B78D152" w14:textId="77777777" w:rsidR="00FF1850" w:rsidRPr="00FF1850" w:rsidRDefault="00FF1850" w:rsidP="00FF1850">
            <w:pPr>
              <w:spacing w:after="200" w:line="276" w:lineRule="auto"/>
              <w:rPr>
                <w:lang w:val="en-CK"/>
              </w:rPr>
            </w:pPr>
            <w:r w:rsidRPr="00FF1850">
              <w:rPr>
                <w:lang w:val="en-CK"/>
              </w:rPr>
              <w:lastRenderedPageBreak/>
              <w:t>Cultural Appropriateness</w:t>
            </w:r>
          </w:p>
        </w:tc>
        <w:tc>
          <w:tcPr>
            <w:tcW w:w="6360" w:type="dxa"/>
          </w:tcPr>
          <w:p w14:paraId="25031739" w14:textId="77777777" w:rsidR="00FF1850" w:rsidRPr="00FF1850" w:rsidRDefault="00FF1850" w:rsidP="00FF1850">
            <w:pPr>
              <w:spacing w:after="200" w:line="276" w:lineRule="auto"/>
              <w:cnfStyle w:val="000000000000" w:firstRow="0" w:lastRow="0" w:firstColumn="0" w:lastColumn="0" w:oddVBand="0" w:evenVBand="0" w:oddHBand="0" w:evenHBand="0" w:firstRowFirstColumn="0" w:firstRowLastColumn="0" w:lastRowFirstColumn="0" w:lastRowLastColumn="0"/>
              <w:rPr>
                <w:lang w:val="en-CK"/>
              </w:rPr>
            </w:pPr>
            <w:r w:rsidRPr="00FF1850">
              <w:rPr>
                <w:lang w:val="en-CK"/>
              </w:rPr>
              <w:t>Gendered spaces, community use considerations</w:t>
            </w:r>
          </w:p>
        </w:tc>
      </w:tr>
      <w:tr w:rsidR="00977300" w:rsidRPr="00FF1850" w14:paraId="5A8599C4" w14:textId="77777777" w:rsidTr="00FF1850">
        <w:tc>
          <w:tcPr>
            <w:cnfStyle w:val="001000000000" w:firstRow="0" w:lastRow="0" w:firstColumn="1" w:lastColumn="0" w:oddVBand="0" w:evenVBand="0" w:oddHBand="0" w:evenHBand="0" w:firstRowFirstColumn="0" w:firstRowLastColumn="0" w:lastRowFirstColumn="0" w:lastRowLastColumn="0"/>
            <w:tcW w:w="3000" w:type="dxa"/>
          </w:tcPr>
          <w:p w14:paraId="4D1BA81F" w14:textId="104CD43A" w:rsidR="00977300" w:rsidRPr="00FF1850" w:rsidRDefault="00977300" w:rsidP="00977300">
            <w:pPr>
              <w:rPr>
                <w:lang w:val="en-CK"/>
              </w:rPr>
            </w:pPr>
            <w:r w:rsidRPr="000B2486">
              <w:t>Condition Rating</w:t>
            </w:r>
          </w:p>
        </w:tc>
        <w:tc>
          <w:tcPr>
            <w:tcW w:w="6360" w:type="dxa"/>
          </w:tcPr>
          <w:p w14:paraId="390D9E7B" w14:textId="56BF7866" w:rsidR="00977300" w:rsidRPr="00FF1850" w:rsidRDefault="00977300" w:rsidP="00977300">
            <w:pPr>
              <w:cnfStyle w:val="000000000000" w:firstRow="0" w:lastRow="0" w:firstColumn="0" w:lastColumn="0" w:oddVBand="0" w:evenVBand="0" w:oddHBand="0" w:evenHBand="0" w:firstRowFirstColumn="0" w:firstRowLastColumn="0" w:lastRowFirstColumn="0" w:lastRowLastColumn="0"/>
              <w:rPr>
                <w:lang w:val="en-CK"/>
              </w:rPr>
            </w:pPr>
            <w:proofErr w:type="spellStart"/>
            <w:r w:rsidRPr="000B2486">
              <w:t>Standardised</w:t>
            </w:r>
            <w:proofErr w:type="spellEnd"/>
            <w:r w:rsidRPr="000B2486">
              <w:t xml:space="preserve"> 1–</w:t>
            </w:r>
            <w:r>
              <w:t>10</w:t>
            </w:r>
            <w:r w:rsidRPr="000B2486">
              <w:t xml:space="preserve"> condition scale applied consistently across all venues</w:t>
            </w:r>
          </w:p>
        </w:tc>
      </w:tr>
      <w:tr w:rsidR="00FF1850" w:rsidRPr="00FF1850" w14:paraId="576FC89D" w14:textId="77777777" w:rsidTr="00FF1850">
        <w:tc>
          <w:tcPr>
            <w:cnfStyle w:val="001000000000" w:firstRow="0" w:lastRow="0" w:firstColumn="1" w:lastColumn="0" w:oddVBand="0" w:evenVBand="0" w:oddHBand="0" w:evenHBand="0" w:firstRowFirstColumn="0" w:firstRowLastColumn="0" w:lastRowFirstColumn="0" w:lastRowLastColumn="0"/>
            <w:tcW w:w="3000" w:type="dxa"/>
          </w:tcPr>
          <w:p w14:paraId="1DD6DEAA" w14:textId="77777777" w:rsidR="00FF1850" w:rsidRPr="00FF1850" w:rsidRDefault="00FF1850" w:rsidP="00FF1850">
            <w:pPr>
              <w:spacing w:after="200" w:line="276" w:lineRule="auto"/>
              <w:rPr>
                <w:lang w:val="en-CK"/>
              </w:rPr>
            </w:pPr>
            <w:r w:rsidRPr="00FF1850">
              <w:rPr>
                <w:lang w:val="en-CK"/>
              </w:rPr>
              <w:t>Sport-Code Technical Requirements</w:t>
            </w:r>
          </w:p>
        </w:tc>
        <w:tc>
          <w:tcPr>
            <w:tcW w:w="6360" w:type="dxa"/>
          </w:tcPr>
          <w:p w14:paraId="5728E897" w14:textId="77777777" w:rsidR="00FF1850" w:rsidRPr="00FF1850" w:rsidRDefault="00FF1850" w:rsidP="00FF1850">
            <w:pPr>
              <w:spacing w:after="200" w:line="276" w:lineRule="auto"/>
              <w:cnfStyle w:val="000000000000" w:firstRow="0" w:lastRow="0" w:firstColumn="0" w:lastColumn="0" w:oddVBand="0" w:evenVBand="0" w:oddHBand="0" w:evenHBand="0" w:firstRowFirstColumn="0" w:firstRowLastColumn="0" w:lastRowFirstColumn="0" w:lastRowLastColumn="0"/>
              <w:rPr>
                <w:lang w:val="en-CK"/>
              </w:rPr>
            </w:pPr>
            <w:r w:rsidRPr="00FF1850">
              <w:rPr>
                <w:lang w:val="en-CK"/>
              </w:rPr>
              <w:t>Minimum technical standards per sport code for competition and training venues</w:t>
            </w:r>
          </w:p>
        </w:tc>
      </w:tr>
    </w:tbl>
    <w:p w14:paraId="43DA81FE" w14:textId="77777777" w:rsidR="00FF1850" w:rsidRPr="00FF1850" w:rsidRDefault="00FF1850" w:rsidP="00FF1850">
      <w:pPr>
        <w:rPr>
          <w:lang w:val="en-CK"/>
        </w:rPr>
      </w:pPr>
      <w:r w:rsidRPr="00FF1850">
        <w:rPr>
          <w:lang w:val="en-CK"/>
        </w:rPr>
        <w:t>Each framework shall be a concise field-ready checklist or scoring matrix. Frameworks must be calibrated and agreed with CIIC before fieldwork commences.</w:t>
      </w:r>
    </w:p>
    <w:p w14:paraId="0284548D" w14:textId="0EBE6A48" w:rsidR="0013063E" w:rsidRPr="00BE7D04" w:rsidRDefault="0013063E" w:rsidP="00E724E7">
      <w:pPr>
        <w:rPr>
          <w:rStyle w:val="Strong"/>
        </w:rPr>
      </w:pPr>
      <w:r w:rsidRPr="00BE7D04">
        <w:rPr>
          <w:rStyle w:val="Strong"/>
        </w:rPr>
        <w:t xml:space="preserve">Part 2: </w:t>
      </w:r>
      <w:r w:rsidR="00FF1850" w:rsidRPr="00BE7D04">
        <w:rPr>
          <w:rStyle w:val="Strong"/>
        </w:rPr>
        <w:t>Accommodation &amp; Dining Facilities</w:t>
      </w:r>
    </w:p>
    <w:p w14:paraId="78026AA5" w14:textId="77777777" w:rsidR="00FF1850" w:rsidRPr="00FF1850" w:rsidRDefault="00FF1850" w:rsidP="00FF1850">
      <w:pPr>
        <w:rPr>
          <w:lang w:val="en-CK"/>
        </w:rPr>
      </w:pPr>
      <w:r w:rsidRPr="00FF1850">
        <w:rPr>
          <w:lang w:val="en-CK"/>
        </w:rPr>
        <w:t xml:space="preserve">The TA shall lead the technical assessment of all accommodation and dining facilities proposed for Games use, working alongside </w:t>
      </w:r>
      <w:r w:rsidRPr="00FF1850">
        <w:t>CIIC personnel</w:t>
      </w:r>
      <w:r w:rsidRPr="00FF1850">
        <w:rPr>
          <w:lang w:val="en-CK"/>
        </w:rPr>
        <w:t xml:space="preserve"> who will coordinate site access and stakeholder engagement. Deliverables include:</w:t>
      </w:r>
    </w:p>
    <w:p w14:paraId="0FC23E52" w14:textId="77777777" w:rsidR="00FF1850" w:rsidRPr="00FF1850" w:rsidRDefault="00FF1850" w:rsidP="00FB4F7B">
      <w:pPr>
        <w:numPr>
          <w:ilvl w:val="0"/>
          <w:numId w:val="10"/>
        </w:numPr>
        <w:spacing w:after="0"/>
        <w:rPr>
          <w:lang w:val="en-CK"/>
        </w:rPr>
      </w:pPr>
      <w:r w:rsidRPr="00FF1850">
        <w:rPr>
          <w:lang w:val="en-CK"/>
        </w:rPr>
        <w:t>Condition assessment for each venue using agreed frameworks</w:t>
      </w:r>
    </w:p>
    <w:p w14:paraId="29DD855D" w14:textId="77777777" w:rsidR="00FF1850" w:rsidRPr="00FF1850" w:rsidRDefault="00FF1850" w:rsidP="00FB4F7B">
      <w:pPr>
        <w:numPr>
          <w:ilvl w:val="0"/>
          <w:numId w:val="10"/>
        </w:numPr>
        <w:spacing w:after="0"/>
        <w:rPr>
          <w:lang w:val="en-CK"/>
        </w:rPr>
      </w:pPr>
      <w:r w:rsidRPr="00FF1850">
        <w:rPr>
          <w:lang w:val="en-CK"/>
        </w:rPr>
        <w:t>Identification of upgrade needs (refurbishment, compliance, services, accessibility)</w:t>
      </w:r>
    </w:p>
    <w:p w14:paraId="325215C1" w14:textId="77777777" w:rsidR="00FF1850" w:rsidRPr="00FF1850" w:rsidRDefault="00FF1850" w:rsidP="00FB4F7B">
      <w:pPr>
        <w:numPr>
          <w:ilvl w:val="0"/>
          <w:numId w:val="10"/>
        </w:numPr>
        <w:spacing w:after="0"/>
        <w:rPr>
          <w:lang w:val="en-CK"/>
        </w:rPr>
      </w:pPr>
      <w:r w:rsidRPr="00FF1850">
        <w:rPr>
          <w:lang w:val="en-CK"/>
        </w:rPr>
        <w:t>Preliminary cost estimates with stated assumptions, exclusions and major cost drivers</w:t>
      </w:r>
    </w:p>
    <w:p w14:paraId="12196635" w14:textId="77777777" w:rsidR="00FF1850" w:rsidRPr="00FF1850" w:rsidRDefault="00FF1850" w:rsidP="00FB4F7B">
      <w:pPr>
        <w:numPr>
          <w:ilvl w:val="0"/>
          <w:numId w:val="10"/>
        </w:numPr>
        <w:spacing w:after="0"/>
        <w:rPr>
          <w:lang w:val="en-CK"/>
        </w:rPr>
      </w:pPr>
      <w:r w:rsidRPr="00FF1850">
        <w:rPr>
          <w:lang w:val="en-CK"/>
        </w:rPr>
        <w:t>Identification of key risks and constraints</w:t>
      </w:r>
    </w:p>
    <w:p w14:paraId="7372B19A" w14:textId="77777777" w:rsidR="00FF1850" w:rsidRPr="00FF1850" w:rsidRDefault="00FF1850" w:rsidP="00FB4F7B">
      <w:pPr>
        <w:numPr>
          <w:ilvl w:val="0"/>
          <w:numId w:val="10"/>
        </w:numPr>
        <w:spacing w:after="0"/>
        <w:rPr>
          <w:lang w:val="en-CK"/>
        </w:rPr>
      </w:pPr>
      <w:r w:rsidRPr="00FF1850">
        <w:rPr>
          <w:lang w:val="en-CK"/>
        </w:rPr>
        <w:t>Summary assessment sheet per venue in agreed template format</w:t>
      </w:r>
    </w:p>
    <w:p w14:paraId="3C16C862" w14:textId="77777777" w:rsidR="00456B88" w:rsidRDefault="00456B88" w:rsidP="00FF1850">
      <w:pPr>
        <w:rPr>
          <w:lang w:val="en-CK"/>
        </w:rPr>
      </w:pPr>
    </w:p>
    <w:p w14:paraId="333BBC6A" w14:textId="1D680F11" w:rsidR="00FF1850" w:rsidRPr="00FF1850" w:rsidRDefault="00FF1850" w:rsidP="00FF1850">
      <w:pPr>
        <w:rPr>
          <w:lang w:val="en-CK"/>
        </w:rPr>
      </w:pPr>
      <w:r w:rsidRPr="00FF1850">
        <w:rPr>
          <w:lang w:val="en-CK"/>
        </w:rPr>
        <w:t>Venues include (indicative):</w:t>
      </w:r>
    </w:p>
    <w:p w14:paraId="4E9B41B9" w14:textId="0DC07749" w:rsidR="00FF1850" w:rsidRPr="00FF1850" w:rsidRDefault="00FF1850" w:rsidP="00FB4F7B">
      <w:pPr>
        <w:numPr>
          <w:ilvl w:val="0"/>
          <w:numId w:val="10"/>
        </w:numPr>
        <w:spacing w:after="0"/>
        <w:rPr>
          <w:lang w:val="en-CK"/>
        </w:rPr>
      </w:pPr>
      <w:r w:rsidRPr="00FF1850">
        <w:rPr>
          <w:lang w:val="en-CK"/>
        </w:rPr>
        <w:t xml:space="preserve">Apii Arorangi, Apii Avarua, Apii Nikao, Apii Takitumu, Apii Te Uki </w:t>
      </w:r>
      <w:proofErr w:type="spellStart"/>
      <w:r w:rsidRPr="00FF1850">
        <w:rPr>
          <w:lang w:val="en-CK"/>
        </w:rPr>
        <w:t>Ou</w:t>
      </w:r>
      <w:proofErr w:type="spellEnd"/>
      <w:r w:rsidR="00735E27">
        <w:t xml:space="preserve">, </w:t>
      </w:r>
      <w:r w:rsidRPr="00FF1850">
        <w:rPr>
          <w:lang w:val="en-CK"/>
        </w:rPr>
        <w:t xml:space="preserve">St Joseph Primary School, Tereora College, Titikaveka College, </w:t>
      </w:r>
      <w:proofErr w:type="spellStart"/>
      <w:r w:rsidRPr="00FF1850">
        <w:rPr>
          <w:lang w:val="en-CK"/>
        </w:rPr>
        <w:t>Nukutere</w:t>
      </w:r>
      <w:proofErr w:type="spellEnd"/>
      <w:r w:rsidRPr="00FF1850">
        <w:rPr>
          <w:lang w:val="en-CK"/>
        </w:rPr>
        <w:t xml:space="preserve"> College, </w:t>
      </w:r>
      <w:proofErr w:type="spellStart"/>
      <w:r w:rsidRPr="00FF1850">
        <w:rPr>
          <w:lang w:val="en-CK"/>
        </w:rPr>
        <w:t>Papaaroa</w:t>
      </w:r>
      <w:proofErr w:type="spellEnd"/>
      <w:r w:rsidRPr="00FF1850">
        <w:rPr>
          <w:lang w:val="en-CK"/>
        </w:rPr>
        <w:t xml:space="preserve"> School</w:t>
      </w:r>
    </w:p>
    <w:p w14:paraId="353524BC" w14:textId="77777777" w:rsidR="00FF1850" w:rsidRPr="00FF1850" w:rsidRDefault="00FF1850" w:rsidP="00FB4F7B">
      <w:pPr>
        <w:numPr>
          <w:ilvl w:val="0"/>
          <w:numId w:val="10"/>
        </w:numPr>
        <w:spacing w:after="0"/>
        <w:rPr>
          <w:lang w:val="en-CK"/>
        </w:rPr>
      </w:pPr>
      <w:r w:rsidRPr="00FF1850">
        <w:rPr>
          <w:lang w:val="en-CK"/>
        </w:rPr>
        <w:t>Pa Enua Hostels</w:t>
      </w:r>
    </w:p>
    <w:p w14:paraId="52CF018F" w14:textId="42FF7ECE" w:rsidR="00FF1850" w:rsidRDefault="00FF1850" w:rsidP="00FB4F7B">
      <w:pPr>
        <w:numPr>
          <w:ilvl w:val="0"/>
          <w:numId w:val="10"/>
        </w:numPr>
        <w:spacing w:after="0"/>
        <w:rPr>
          <w:lang w:val="en-CK"/>
        </w:rPr>
      </w:pPr>
      <w:r w:rsidRPr="00FF1850">
        <w:rPr>
          <w:lang w:val="en-CK"/>
        </w:rPr>
        <w:t xml:space="preserve">Princess Anne Hall, Nikao CICC Sunday School Hall, </w:t>
      </w:r>
      <w:proofErr w:type="spellStart"/>
      <w:r w:rsidRPr="00FF1850">
        <w:rPr>
          <w:lang w:val="en-CK"/>
        </w:rPr>
        <w:t>Avatea</w:t>
      </w:r>
      <w:proofErr w:type="spellEnd"/>
      <w:r w:rsidRPr="00FF1850">
        <w:rPr>
          <w:lang w:val="en-CK"/>
        </w:rPr>
        <w:t xml:space="preserve"> Hall, Sinai Hall, Calvary Hall, St Joseph Hall, </w:t>
      </w:r>
      <w:proofErr w:type="spellStart"/>
      <w:r w:rsidRPr="00FF1850">
        <w:rPr>
          <w:lang w:val="en-CK"/>
        </w:rPr>
        <w:t>Papaaroa</w:t>
      </w:r>
      <w:proofErr w:type="spellEnd"/>
      <w:r w:rsidRPr="00FF1850">
        <w:rPr>
          <w:lang w:val="en-CK"/>
        </w:rPr>
        <w:t xml:space="preserve"> Hall, Kent Hall</w:t>
      </w:r>
    </w:p>
    <w:p w14:paraId="5EB072E9" w14:textId="323538D3" w:rsidR="00735E27" w:rsidRDefault="00735E27" w:rsidP="00735E27">
      <w:pPr>
        <w:spacing w:after="0"/>
        <w:rPr>
          <w:lang w:val="en-CK"/>
        </w:rPr>
      </w:pPr>
    </w:p>
    <w:p w14:paraId="71EBC8FD" w14:textId="7F1B421E" w:rsidR="00735E27" w:rsidRPr="00735E27" w:rsidRDefault="00735E27" w:rsidP="00735E27">
      <w:pPr>
        <w:rPr>
          <w:rStyle w:val="Strong"/>
        </w:rPr>
      </w:pPr>
      <w:r w:rsidRPr="00735E27">
        <w:rPr>
          <w:rStyle w:val="Strong"/>
        </w:rPr>
        <w:t xml:space="preserve">Part </w:t>
      </w:r>
      <w:r>
        <w:rPr>
          <w:rStyle w:val="Strong"/>
        </w:rPr>
        <w:t>3:</w:t>
      </w:r>
      <w:r w:rsidRPr="00735E27">
        <w:rPr>
          <w:rStyle w:val="Strong"/>
        </w:rPr>
        <w:t xml:space="preserve"> Community Sports Training Venues</w:t>
      </w:r>
    </w:p>
    <w:p w14:paraId="7D8A9389" w14:textId="77777777" w:rsidR="00735E27" w:rsidRPr="00735E27" w:rsidRDefault="00735E27" w:rsidP="00735E27">
      <w:pPr>
        <w:spacing w:after="0"/>
        <w:rPr>
          <w:lang w:val="en-CK"/>
        </w:rPr>
      </w:pPr>
      <w:r w:rsidRPr="00735E27">
        <w:rPr>
          <w:lang w:val="en-CK"/>
        </w:rPr>
        <w:t>The TA shall assess community sports facilities proposed for athlete training during the Games. Deliverables include:</w:t>
      </w:r>
    </w:p>
    <w:p w14:paraId="484AE8D4" w14:textId="77777777" w:rsidR="00735E27" w:rsidRPr="00735E27" w:rsidRDefault="00735E27" w:rsidP="00735E27">
      <w:pPr>
        <w:spacing w:after="0"/>
        <w:rPr>
          <w:lang w:val="en-CK"/>
        </w:rPr>
      </w:pPr>
      <w:r w:rsidRPr="00735E27">
        <w:rPr>
          <w:lang w:val="en-CK"/>
        </w:rPr>
        <w:t>•</w:t>
      </w:r>
      <w:r w:rsidRPr="00735E27">
        <w:rPr>
          <w:lang w:val="en-CK"/>
        </w:rPr>
        <w:tab/>
        <w:t>Assessment of fitness for purpose against PMG training requirements</w:t>
      </w:r>
    </w:p>
    <w:p w14:paraId="7CD2E2CE" w14:textId="77777777" w:rsidR="00735E27" w:rsidRPr="00735E27" w:rsidRDefault="00735E27" w:rsidP="00735E27">
      <w:pPr>
        <w:spacing w:after="0"/>
        <w:rPr>
          <w:lang w:val="en-CK"/>
        </w:rPr>
      </w:pPr>
      <w:r w:rsidRPr="00735E27">
        <w:rPr>
          <w:lang w:val="en-CK"/>
        </w:rPr>
        <w:t>•</w:t>
      </w:r>
      <w:r w:rsidRPr="00735E27">
        <w:rPr>
          <w:lang w:val="en-CK"/>
        </w:rPr>
        <w:tab/>
        <w:t>High-level upgrade scope (playing surfaces, lighting, amenities, equipment)</w:t>
      </w:r>
    </w:p>
    <w:p w14:paraId="4153F837" w14:textId="77777777" w:rsidR="00735E27" w:rsidRPr="00735E27" w:rsidRDefault="00735E27" w:rsidP="00735E27">
      <w:pPr>
        <w:spacing w:after="0"/>
        <w:rPr>
          <w:lang w:val="en-CK"/>
        </w:rPr>
      </w:pPr>
      <w:r w:rsidRPr="00735E27">
        <w:rPr>
          <w:lang w:val="en-CK"/>
        </w:rPr>
        <w:t>•</w:t>
      </w:r>
      <w:r w:rsidRPr="00735E27">
        <w:rPr>
          <w:lang w:val="en-CK"/>
        </w:rPr>
        <w:tab/>
        <w:t>Preliminary cost estimates with assumptions</w:t>
      </w:r>
    </w:p>
    <w:p w14:paraId="4D6627BA" w14:textId="77777777" w:rsidR="00735E27" w:rsidRPr="00735E27" w:rsidRDefault="00735E27" w:rsidP="00735E27">
      <w:pPr>
        <w:spacing w:after="0"/>
        <w:rPr>
          <w:lang w:val="en-CK"/>
        </w:rPr>
      </w:pPr>
      <w:r w:rsidRPr="00735E27">
        <w:rPr>
          <w:lang w:val="en-CK"/>
        </w:rPr>
        <w:t>•</w:t>
      </w:r>
      <w:r w:rsidRPr="00735E27">
        <w:rPr>
          <w:lang w:val="en-CK"/>
        </w:rPr>
        <w:tab/>
        <w:t>Summary assessment sheet per venue in agreed template format</w:t>
      </w:r>
    </w:p>
    <w:p w14:paraId="630EEAED" w14:textId="77777777" w:rsidR="00735E27" w:rsidRPr="00735E27" w:rsidRDefault="00735E27" w:rsidP="00735E27">
      <w:pPr>
        <w:spacing w:after="0"/>
        <w:rPr>
          <w:lang w:val="en-CK"/>
        </w:rPr>
      </w:pPr>
    </w:p>
    <w:p w14:paraId="4E577691" w14:textId="77777777" w:rsidR="00735E27" w:rsidRPr="00735E27" w:rsidRDefault="00735E27" w:rsidP="00735E27">
      <w:pPr>
        <w:spacing w:after="0"/>
        <w:rPr>
          <w:lang w:val="en-CK"/>
        </w:rPr>
      </w:pPr>
      <w:r w:rsidRPr="00735E27">
        <w:rPr>
          <w:lang w:val="en-CK"/>
        </w:rPr>
        <w:t>Venues include (indicative):</w:t>
      </w:r>
    </w:p>
    <w:p w14:paraId="3ED1CADF" w14:textId="6B9B1513" w:rsidR="00735E27" w:rsidRPr="00FF1850" w:rsidRDefault="00735E27" w:rsidP="00735E27">
      <w:pPr>
        <w:spacing w:after="0"/>
        <w:rPr>
          <w:lang w:val="en-CK"/>
        </w:rPr>
      </w:pPr>
      <w:r w:rsidRPr="00735E27">
        <w:rPr>
          <w:lang w:val="en-CK"/>
        </w:rPr>
        <w:t>•</w:t>
      </w:r>
      <w:r w:rsidRPr="00735E27">
        <w:rPr>
          <w:lang w:val="en-CK"/>
        </w:rPr>
        <w:tab/>
        <w:t xml:space="preserve">Arorangi Sports Club, </w:t>
      </w:r>
      <w:proofErr w:type="spellStart"/>
      <w:r w:rsidRPr="00735E27">
        <w:rPr>
          <w:lang w:val="en-CK"/>
        </w:rPr>
        <w:t>Avatiu</w:t>
      </w:r>
      <w:proofErr w:type="spellEnd"/>
      <w:r w:rsidRPr="00735E27">
        <w:rPr>
          <w:lang w:val="en-CK"/>
        </w:rPr>
        <w:t xml:space="preserve"> Sports Club, </w:t>
      </w:r>
      <w:r>
        <w:t xml:space="preserve">Takuvaine Sports Club, </w:t>
      </w:r>
      <w:r w:rsidRPr="00735E27">
        <w:rPr>
          <w:lang w:val="en-CK"/>
        </w:rPr>
        <w:t xml:space="preserve">Tupapa Sports Club, Titikaveka College &amp; Sports Club, </w:t>
      </w:r>
      <w:proofErr w:type="spellStart"/>
      <w:r w:rsidRPr="00735E27">
        <w:rPr>
          <w:lang w:val="en-CK"/>
        </w:rPr>
        <w:t>Papaaroa</w:t>
      </w:r>
      <w:proofErr w:type="spellEnd"/>
      <w:r w:rsidRPr="00735E27">
        <w:rPr>
          <w:lang w:val="en-CK"/>
        </w:rPr>
        <w:t xml:space="preserve"> Hall, Apii Nikao Sports Grounds</w:t>
      </w:r>
    </w:p>
    <w:p w14:paraId="7ED96E43" w14:textId="266857ED" w:rsidR="00FF1850" w:rsidRDefault="00FF1850" w:rsidP="00E724E7">
      <w:pPr>
        <w:rPr>
          <w:rStyle w:val="Strong"/>
        </w:rPr>
      </w:pPr>
    </w:p>
    <w:p w14:paraId="0C01D56D" w14:textId="3D655E29" w:rsidR="00735E27" w:rsidRDefault="00735E27" w:rsidP="00E724E7">
      <w:pPr>
        <w:rPr>
          <w:rStyle w:val="Strong"/>
        </w:rPr>
      </w:pPr>
    </w:p>
    <w:p w14:paraId="74DA2122" w14:textId="77777777" w:rsidR="00735E27" w:rsidRPr="00BE7D04" w:rsidRDefault="00735E27" w:rsidP="00E724E7">
      <w:pPr>
        <w:rPr>
          <w:rStyle w:val="Strong"/>
        </w:rPr>
      </w:pPr>
    </w:p>
    <w:p w14:paraId="545CFB6C" w14:textId="354F5635" w:rsidR="0013063E" w:rsidRPr="00BE7D04" w:rsidRDefault="0013063E" w:rsidP="00E724E7">
      <w:pPr>
        <w:rPr>
          <w:rStyle w:val="Strong"/>
        </w:rPr>
      </w:pPr>
      <w:r w:rsidRPr="00BE7D04">
        <w:rPr>
          <w:rStyle w:val="Strong"/>
        </w:rPr>
        <w:lastRenderedPageBreak/>
        <w:t xml:space="preserve">Part </w:t>
      </w:r>
      <w:r w:rsidR="00735E27">
        <w:rPr>
          <w:rStyle w:val="Strong"/>
        </w:rPr>
        <w:t>4</w:t>
      </w:r>
      <w:r w:rsidRPr="00BE7D04">
        <w:rPr>
          <w:rStyle w:val="Strong"/>
        </w:rPr>
        <w:t>: Competition Venues</w:t>
      </w:r>
    </w:p>
    <w:p w14:paraId="553B094B" w14:textId="77777777" w:rsidR="00FF1850" w:rsidRPr="00BE7D04" w:rsidRDefault="00FF1850" w:rsidP="00FF1850">
      <w:pPr>
        <w:spacing w:before="80" w:after="80"/>
      </w:pPr>
      <w:r w:rsidRPr="00BE7D04">
        <w:rPr>
          <w:rFonts w:eastAsia="Arial"/>
        </w:rPr>
        <w:t>The TA shall assess competition venues against PMG requirements by sport code. Deliverables include:</w:t>
      </w:r>
    </w:p>
    <w:p w14:paraId="54E055F1" w14:textId="77777777" w:rsidR="00FF1850" w:rsidRPr="00BE7D04" w:rsidRDefault="00FF1850" w:rsidP="00FB4F7B">
      <w:pPr>
        <w:pStyle w:val="ListParagraph"/>
        <w:numPr>
          <w:ilvl w:val="0"/>
          <w:numId w:val="10"/>
        </w:numPr>
        <w:spacing w:before="60" w:after="60" w:line="240" w:lineRule="auto"/>
        <w:contextualSpacing w:val="0"/>
      </w:pPr>
      <w:r w:rsidRPr="00BE7D04">
        <w:rPr>
          <w:rFonts w:eastAsia="Arial"/>
        </w:rPr>
        <w:t>Confirmation of sports and disciplines to be hosted at each venue</w:t>
      </w:r>
    </w:p>
    <w:p w14:paraId="3D4DD445" w14:textId="77777777" w:rsidR="00FF1850" w:rsidRPr="00BE7D04" w:rsidRDefault="00FF1850" w:rsidP="00FB4F7B">
      <w:pPr>
        <w:pStyle w:val="ListParagraph"/>
        <w:numPr>
          <w:ilvl w:val="0"/>
          <w:numId w:val="10"/>
        </w:numPr>
        <w:spacing w:before="60" w:after="60" w:line="240" w:lineRule="auto"/>
        <w:contextualSpacing w:val="0"/>
      </w:pPr>
      <w:r w:rsidRPr="00BE7D04">
        <w:rPr>
          <w:rFonts w:eastAsia="Arial"/>
        </w:rPr>
        <w:t>Gap assessment against PMG competition requirements by sport code</w:t>
      </w:r>
    </w:p>
    <w:p w14:paraId="6DD52D1C" w14:textId="77777777" w:rsidR="00FF1850" w:rsidRPr="00BE7D04" w:rsidRDefault="00FF1850" w:rsidP="00FB4F7B">
      <w:pPr>
        <w:pStyle w:val="ListParagraph"/>
        <w:numPr>
          <w:ilvl w:val="0"/>
          <w:numId w:val="10"/>
        </w:numPr>
        <w:spacing w:before="60" w:after="60" w:line="240" w:lineRule="auto"/>
        <w:contextualSpacing w:val="0"/>
      </w:pPr>
      <w:r w:rsidRPr="00BE7D04">
        <w:rPr>
          <w:rFonts w:eastAsia="Arial"/>
        </w:rPr>
        <w:t>High-level upgrade scope (capacity, compliance, athlete and technical facilities)</w:t>
      </w:r>
    </w:p>
    <w:p w14:paraId="26308768" w14:textId="77777777" w:rsidR="00FF1850" w:rsidRPr="00BE7D04" w:rsidRDefault="00FF1850" w:rsidP="00FB4F7B">
      <w:pPr>
        <w:pStyle w:val="ListParagraph"/>
        <w:numPr>
          <w:ilvl w:val="0"/>
          <w:numId w:val="10"/>
        </w:numPr>
        <w:spacing w:before="60" w:after="60" w:line="240" w:lineRule="auto"/>
        <w:contextualSpacing w:val="0"/>
      </w:pPr>
      <w:r w:rsidRPr="00BE7D04">
        <w:rPr>
          <w:rFonts w:eastAsia="Arial"/>
        </w:rPr>
        <w:t>Preliminary capital cost estimates separated by sport-code requirements</w:t>
      </w:r>
    </w:p>
    <w:p w14:paraId="2EC75A8D" w14:textId="77777777" w:rsidR="00FF1850" w:rsidRPr="00BE7D04" w:rsidRDefault="00FF1850" w:rsidP="00FB4F7B">
      <w:pPr>
        <w:pStyle w:val="ListParagraph"/>
        <w:numPr>
          <w:ilvl w:val="0"/>
          <w:numId w:val="10"/>
        </w:numPr>
        <w:spacing w:before="60" w:after="60" w:line="240" w:lineRule="auto"/>
        <w:contextualSpacing w:val="0"/>
      </w:pPr>
      <w:r w:rsidRPr="00BE7D04">
        <w:rPr>
          <w:rFonts w:eastAsia="Arial"/>
        </w:rPr>
        <w:t>Identification of operational and delivery risks</w:t>
      </w:r>
    </w:p>
    <w:p w14:paraId="30E9AEC9" w14:textId="77777777" w:rsidR="00FF1850" w:rsidRPr="00BE7D04" w:rsidRDefault="00FF1850" w:rsidP="00FB4F7B">
      <w:pPr>
        <w:pStyle w:val="ListParagraph"/>
        <w:numPr>
          <w:ilvl w:val="0"/>
          <w:numId w:val="10"/>
        </w:numPr>
        <w:spacing w:before="60" w:after="60" w:line="240" w:lineRule="auto"/>
        <w:contextualSpacing w:val="0"/>
      </w:pPr>
      <w:r w:rsidRPr="00BE7D04">
        <w:rPr>
          <w:rFonts w:eastAsia="Arial"/>
        </w:rPr>
        <w:t>Summary assessment sheet per venue in agreed template format</w:t>
      </w:r>
    </w:p>
    <w:p w14:paraId="0FE32D83" w14:textId="77777777" w:rsidR="00FF1850" w:rsidRPr="00BE7D04" w:rsidRDefault="00FF1850" w:rsidP="00FF1850">
      <w:pPr>
        <w:spacing w:before="60" w:after="60"/>
      </w:pPr>
    </w:p>
    <w:p w14:paraId="1955C1ED" w14:textId="77777777" w:rsidR="00FF1850" w:rsidRPr="00BE7D04" w:rsidRDefault="00FF1850" w:rsidP="00FF1850">
      <w:pPr>
        <w:spacing w:before="80" w:after="80"/>
      </w:pPr>
      <w:r w:rsidRPr="00BE7D04">
        <w:rPr>
          <w:rFonts w:eastAsia="Arial"/>
        </w:rPr>
        <w:t>Venues include (indicative):</w:t>
      </w:r>
    </w:p>
    <w:tbl>
      <w:tblPr>
        <w:tblStyle w:val="GridTable1Light-Accent1"/>
        <w:tblW w:w="8683" w:type="dxa"/>
        <w:tblLook w:val="04A0" w:firstRow="1" w:lastRow="0" w:firstColumn="1" w:lastColumn="0" w:noHBand="0" w:noVBand="1"/>
      </w:tblPr>
      <w:tblGrid>
        <w:gridCol w:w="3823"/>
        <w:gridCol w:w="4860"/>
      </w:tblGrid>
      <w:tr w:rsidR="00FF1850" w:rsidRPr="00BE7D04" w14:paraId="72D8EFAA" w14:textId="77777777" w:rsidTr="00FF1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9FD5194" w14:textId="77777777" w:rsidR="00FF1850" w:rsidRPr="00BE7D04" w:rsidRDefault="00FF1850" w:rsidP="007C1EC5">
            <w:pPr>
              <w:rPr>
                <w:color w:val="000000" w:themeColor="text1"/>
              </w:rPr>
            </w:pPr>
            <w:r w:rsidRPr="00BE7D04">
              <w:rPr>
                <w:rFonts w:eastAsia="Arial"/>
                <w:color w:val="000000" w:themeColor="text1"/>
              </w:rPr>
              <w:t>Venue</w:t>
            </w:r>
          </w:p>
        </w:tc>
        <w:tc>
          <w:tcPr>
            <w:tcW w:w="4860" w:type="dxa"/>
          </w:tcPr>
          <w:p w14:paraId="562F623F" w14:textId="77777777" w:rsidR="00FF1850" w:rsidRPr="00BE7D04" w:rsidRDefault="00FF1850" w:rsidP="007C1EC5">
            <w:pPr>
              <w:cnfStyle w:val="100000000000" w:firstRow="1" w:lastRow="0" w:firstColumn="0" w:lastColumn="0" w:oddVBand="0" w:evenVBand="0" w:oddHBand="0" w:evenHBand="0" w:firstRowFirstColumn="0" w:firstRowLastColumn="0" w:lastRowFirstColumn="0" w:lastRowLastColumn="0"/>
              <w:rPr>
                <w:color w:val="000000" w:themeColor="text1"/>
              </w:rPr>
            </w:pPr>
            <w:r w:rsidRPr="00BE7D04">
              <w:rPr>
                <w:rFonts w:eastAsia="Arial"/>
                <w:color w:val="000000" w:themeColor="text1"/>
              </w:rPr>
              <w:t>Sport Code(s)</w:t>
            </w:r>
          </w:p>
        </w:tc>
      </w:tr>
      <w:tr w:rsidR="00FF1850" w:rsidRPr="00BE7D04" w14:paraId="25EEC0D7" w14:textId="77777777" w:rsidTr="00FF1850">
        <w:tc>
          <w:tcPr>
            <w:cnfStyle w:val="001000000000" w:firstRow="0" w:lastRow="0" w:firstColumn="1" w:lastColumn="0" w:oddVBand="0" w:evenVBand="0" w:oddHBand="0" w:evenHBand="0" w:firstRowFirstColumn="0" w:firstRowLastColumn="0" w:lastRowFirstColumn="0" w:lastRowLastColumn="0"/>
            <w:tcW w:w="3823" w:type="dxa"/>
          </w:tcPr>
          <w:p w14:paraId="076F325D" w14:textId="77777777" w:rsidR="00FF1850" w:rsidRPr="00BE7D04" w:rsidRDefault="00FF1850" w:rsidP="007C1EC5">
            <w:r w:rsidRPr="00BE7D04">
              <w:rPr>
                <w:rFonts w:eastAsia="Arial"/>
              </w:rPr>
              <w:t>National Stadium</w:t>
            </w:r>
          </w:p>
        </w:tc>
        <w:tc>
          <w:tcPr>
            <w:tcW w:w="4860" w:type="dxa"/>
          </w:tcPr>
          <w:p w14:paraId="4FEBD8F3" w14:textId="77777777" w:rsidR="00FF1850" w:rsidRPr="00BE7D04" w:rsidRDefault="00FF1850" w:rsidP="007C1EC5">
            <w:pPr>
              <w:cnfStyle w:val="000000000000" w:firstRow="0" w:lastRow="0" w:firstColumn="0" w:lastColumn="0" w:oddVBand="0" w:evenVBand="0" w:oddHBand="0" w:evenHBand="0" w:firstRowFirstColumn="0" w:firstRowLastColumn="0" w:lastRowFirstColumn="0" w:lastRowLastColumn="0"/>
            </w:pPr>
            <w:r w:rsidRPr="00BE7D04">
              <w:rPr>
                <w:rFonts w:eastAsia="Arial"/>
              </w:rPr>
              <w:t>Athletics, Rugby 7s, Rugby League</w:t>
            </w:r>
          </w:p>
        </w:tc>
      </w:tr>
      <w:tr w:rsidR="00FF1850" w:rsidRPr="00BE7D04" w14:paraId="5B5014F6" w14:textId="77777777" w:rsidTr="00FF1850">
        <w:tc>
          <w:tcPr>
            <w:cnfStyle w:val="001000000000" w:firstRow="0" w:lastRow="0" w:firstColumn="1" w:lastColumn="0" w:oddVBand="0" w:evenVBand="0" w:oddHBand="0" w:evenHBand="0" w:firstRowFirstColumn="0" w:firstRowLastColumn="0" w:lastRowFirstColumn="0" w:lastRowLastColumn="0"/>
            <w:tcW w:w="3823" w:type="dxa"/>
          </w:tcPr>
          <w:p w14:paraId="5368B46C" w14:textId="77777777" w:rsidR="00FF1850" w:rsidRPr="00BE7D04" w:rsidRDefault="00FF1850" w:rsidP="007C1EC5">
            <w:r w:rsidRPr="00BE7D04">
              <w:rPr>
                <w:rFonts w:eastAsia="Arial"/>
              </w:rPr>
              <w:t>Indoor Stadium</w:t>
            </w:r>
          </w:p>
        </w:tc>
        <w:tc>
          <w:tcPr>
            <w:tcW w:w="4860" w:type="dxa"/>
          </w:tcPr>
          <w:p w14:paraId="72DE758A" w14:textId="77777777" w:rsidR="00FF1850" w:rsidRPr="00BE7D04" w:rsidRDefault="00FF1850" w:rsidP="007C1EC5">
            <w:pPr>
              <w:cnfStyle w:val="000000000000" w:firstRow="0" w:lastRow="0" w:firstColumn="0" w:lastColumn="0" w:oddVBand="0" w:evenVBand="0" w:oddHBand="0" w:evenHBand="0" w:firstRowFirstColumn="0" w:firstRowLastColumn="0" w:lastRowFirstColumn="0" w:lastRowLastColumn="0"/>
            </w:pPr>
            <w:r w:rsidRPr="00BE7D04">
              <w:rPr>
                <w:rFonts w:eastAsia="Arial"/>
              </w:rPr>
              <w:t>Basketball, Weightlifting, Netball</w:t>
            </w:r>
          </w:p>
        </w:tc>
      </w:tr>
      <w:tr w:rsidR="00FF1850" w:rsidRPr="00BE7D04" w14:paraId="34F37ACC" w14:textId="77777777" w:rsidTr="00FF1850">
        <w:tc>
          <w:tcPr>
            <w:cnfStyle w:val="001000000000" w:firstRow="0" w:lastRow="0" w:firstColumn="1" w:lastColumn="0" w:oddVBand="0" w:evenVBand="0" w:oddHBand="0" w:evenHBand="0" w:firstRowFirstColumn="0" w:firstRowLastColumn="0" w:lastRowFirstColumn="0" w:lastRowLastColumn="0"/>
            <w:tcW w:w="3823" w:type="dxa"/>
          </w:tcPr>
          <w:p w14:paraId="2A40F583" w14:textId="77777777" w:rsidR="00FF1850" w:rsidRPr="00BE7D04" w:rsidRDefault="00FF1850" w:rsidP="007C1EC5">
            <w:r w:rsidRPr="00BE7D04">
              <w:rPr>
                <w:rFonts w:eastAsia="Arial"/>
              </w:rPr>
              <w:t>CI Golf Course</w:t>
            </w:r>
          </w:p>
        </w:tc>
        <w:tc>
          <w:tcPr>
            <w:tcW w:w="4860" w:type="dxa"/>
          </w:tcPr>
          <w:p w14:paraId="19177BC2" w14:textId="77777777" w:rsidR="00FF1850" w:rsidRPr="00BE7D04" w:rsidRDefault="00FF1850" w:rsidP="007C1EC5">
            <w:pPr>
              <w:cnfStyle w:val="000000000000" w:firstRow="0" w:lastRow="0" w:firstColumn="0" w:lastColumn="0" w:oddVBand="0" w:evenVBand="0" w:oddHBand="0" w:evenHBand="0" w:firstRowFirstColumn="0" w:firstRowLastColumn="0" w:lastRowFirstColumn="0" w:lastRowLastColumn="0"/>
            </w:pPr>
            <w:r w:rsidRPr="00BE7D04">
              <w:rPr>
                <w:rFonts w:eastAsia="Arial"/>
              </w:rPr>
              <w:t>Golf</w:t>
            </w:r>
          </w:p>
        </w:tc>
      </w:tr>
      <w:tr w:rsidR="00FF1850" w:rsidRPr="00BE7D04" w14:paraId="68A99441" w14:textId="77777777" w:rsidTr="00FF1850">
        <w:tc>
          <w:tcPr>
            <w:cnfStyle w:val="001000000000" w:firstRow="0" w:lastRow="0" w:firstColumn="1" w:lastColumn="0" w:oddVBand="0" w:evenVBand="0" w:oddHBand="0" w:evenHBand="0" w:firstRowFirstColumn="0" w:firstRowLastColumn="0" w:lastRowFirstColumn="0" w:lastRowLastColumn="0"/>
            <w:tcW w:w="3823" w:type="dxa"/>
          </w:tcPr>
          <w:p w14:paraId="7BBABC39" w14:textId="77777777" w:rsidR="00FF1850" w:rsidRPr="00BE7D04" w:rsidRDefault="00FF1850" w:rsidP="007C1EC5">
            <w:proofErr w:type="spellStart"/>
            <w:r w:rsidRPr="00BE7D04">
              <w:rPr>
                <w:rFonts w:eastAsia="Arial"/>
              </w:rPr>
              <w:t>Papaaroa</w:t>
            </w:r>
            <w:proofErr w:type="spellEnd"/>
            <w:r w:rsidRPr="00BE7D04">
              <w:rPr>
                <w:rFonts w:eastAsia="Arial"/>
              </w:rPr>
              <w:t xml:space="preserve"> / Muri Beach</w:t>
            </w:r>
          </w:p>
        </w:tc>
        <w:tc>
          <w:tcPr>
            <w:tcW w:w="4860" w:type="dxa"/>
          </w:tcPr>
          <w:p w14:paraId="45D3C7EC" w14:textId="77777777" w:rsidR="00FF1850" w:rsidRPr="00BE7D04" w:rsidRDefault="00FF1850" w:rsidP="007C1EC5">
            <w:pPr>
              <w:cnfStyle w:val="000000000000" w:firstRow="0" w:lastRow="0" w:firstColumn="0" w:lastColumn="0" w:oddVBand="0" w:evenVBand="0" w:oddHBand="0" w:evenHBand="0" w:firstRowFirstColumn="0" w:firstRowLastColumn="0" w:lastRowFirstColumn="0" w:lastRowLastColumn="0"/>
            </w:pPr>
            <w:proofErr w:type="spellStart"/>
            <w:r w:rsidRPr="00BE7D04">
              <w:t>Oe</w:t>
            </w:r>
            <w:proofErr w:type="spellEnd"/>
            <w:r w:rsidRPr="00BE7D04">
              <w:t xml:space="preserve"> Vaka</w:t>
            </w:r>
          </w:p>
        </w:tc>
      </w:tr>
      <w:tr w:rsidR="00FF1850" w:rsidRPr="00BE7D04" w14:paraId="5D029053" w14:textId="77777777" w:rsidTr="00FF1850">
        <w:tc>
          <w:tcPr>
            <w:cnfStyle w:val="001000000000" w:firstRow="0" w:lastRow="0" w:firstColumn="1" w:lastColumn="0" w:oddVBand="0" w:evenVBand="0" w:oddHBand="0" w:evenHBand="0" w:firstRowFirstColumn="0" w:firstRowLastColumn="0" w:lastRowFirstColumn="0" w:lastRowLastColumn="0"/>
            <w:tcW w:w="3823" w:type="dxa"/>
          </w:tcPr>
          <w:p w14:paraId="4CA9748E" w14:textId="77777777" w:rsidR="00FF1850" w:rsidRPr="00BE7D04" w:rsidRDefault="00FF1850" w:rsidP="007C1EC5">
            <w:r w:rsidRPr="00BE7D04">
              <w:rPr>
                <w:rFonts w:eastAsia="Arial"/>
              </w:rPr>
              <w:t>Bowling Club</w:t>
            </w:r>
          </w:p>
        </w:tc>
        <w:tc>
          <w:tcPr>
            <w:tcW w:w="4860" w:type="dxa"/>
          </w:tcPr>
          <w:p w14:paraId="1BE9377E" w14:textId="77777777" w:rsidR="00FF1850" w:rsidRPr="00BE7D04" w:rsidRDefault="00FF1850" w:rsidP="007C1EC5">
            <w:pPr>
              <w:cnfStyle w:val="000000000000" w:firstRow="0" w:lastRow="0" w:firstColumn="0" w:lastColumn="0" w:oddVBand="0" w:evenVBand="0" w:oddHBand="0" w:evenHBand="0" w:firstRowFirstColumn="0" w:firstRowLastColumn="0" w:lastRowFirstColumn="0" w:lastRowLastColumn="0"/>
            </w:pPr>
            <w:r w:rsidRPr="00BE7D04">
              <w:rPr>
                <w:rFonts w:eastAsia="Arial"/>
              </w:rPr>
              <w:t>Lawn Bowls</w:t>
            </w:r>
          </w:p>
        </w:tc>
      </w:tr>
      <w:tr w:rsidR="00FF1850" w:rsidRPr="00BE7D04" w14:paraId="0FF85D0E" w14:textId="77777777" w:rsidTr="00FF1850">
        <w:tc>
          <w:tcPr>
            <w:cnfStyle w:val="001000000000" w:firstRow="0" w:lastRow="0" w:firstColumn="1" w:lastColumn="0" w:oddVBand="0" w:evenVBand="0" w:oddHBand="0" w:evenHBand="0" w:firstRowFirstColumn="0" w:firstRowLastColumn="0" w:lastRowFirstColumn="0" w:lastRowLastColumn="0"/>
            <w:tcW w:w="3823" w:type="dxa"/>
          </w:tcPr>
          <w:p w14:paraId="466798CB" w14:textId="77777777" w:rsidR="00FF1850" w:rsidRPr="00BE7D04" w:rsidRDefault="00FF1850" w:rsidP="007C1EC5">
            <w:r w:rsidRPr="00BE7D04">
              <w:rPr>
                <w:rFonts w:eastAsia="Arial"/>
              </w:rPr>
              <w:t>CIFA / Nikao / Arorangi</w:t>
            </w:r>
          </w:p>
        </w:tc>
        <w:tc>
          <w:tcPr>
            <w:tcW w:w="4860" w:type="dxa"/>
          </w:tcPr>
          <w:p w14:paraId="0F5D7905" w14:textId="77777777" w:rsidR="00FF1850" w:rsidRPr="00BE7D04" w:rsidRDefault="00FF1850" w:rsidP="007C1EC5">
            <w:pPr>
              <w:cnfStyle w:val="000000000000" w:firstRow="0" w:lastRow="0" w:firstColumn="0" w:lastColumn="0" w:oddVBand="0" w:evenVBand="0" w:oddHBand="0" w:evenHBand="0" w:firstRowFirstColumn="0" w:firstRowLastColumn="0" w:lastRowFirstColumn="0" w:lastRowLastColumn="0"/>
            </w:pPr>
            <w:r w:rsidRPr="00BE7D04">
              <w:rPr>
                <w:rFonts w:eastAsia="Arial"/>
              </w:rPr>
              <w:t>Touch Rugby</w:t>
            </w:r>
          </w:p>
        </w:tc>
      </w:tr>
      <w:tr w:rsidR="00FF1850" w:rsidRPr="00BE7D04" w14:paraId="429BDEA6" w14:textId="77777777" w:rsidTr="00FF1850">
        <w:tc>
          <w:tcPr>
            <w:cnfStyle w:val="001000000000" w:firstRow="0" w:lastRow="0" w:firstColumn="1" w:lastColumn="0" w:oddVBand="0" w:evenVBand="0" w:oddHBand="0" w:evenHBand="0" w:firstRowFirstColumn="0" w:firstRowLastColumn="0" w:lastRowFirstColumn="0" w:lastRowLastColumn="0"/>
            <w:tcW w:w="3823" w:type="dxa"/>
          </w:tcPr>
          <w:p w14:paraId="4616AA51" w14:textId="77777777" w:rsidR="00FF1850" w:rsidRPr="00BE7D04" w:rsidRDefault="00FF1850" w:rsidP="007C1EC5">
            <w:r w:rsidRPr="00BE7D04">
              <w:rPr>
                <w:rFonts w:eastAsia="Arial"/>
              </w:rPr>
              <w:t>Nikao Beach Courts</w:t>
            </w:r>
          </w:p>
        </w:tc>
        <w:tc>
          <w:tcPr>
            <w:tcW w:w="4860" w:type="dxa"/>
          </w:tcPr>
          <w:p w14:paraId="6E90C329" w14:textId="77777777" w:rsidR="00FF1850" w:rsidRPr="00BE7D04" w:rsidRDefault="00FF1850" w:rsidP="007C1EC5">
            <w:pPr>
              <w:cnfStyle w:val="000000000000" w:firstRow="0" w:lastRow="0" w:firstColumn="0" w:lastColumn="0" w:oddVBand="0" w:evenVBand="0" w:oddHBand="0" w:evenHBand="0" w:firstRowFirstColumn="0" w:firstRowLastColumn="0" w:lastRowFirstColumn="0" w:lastRowLastColumn="0"/>
            </w:pPr>
            <w:r w:rsidRPr="00BE7D04">
              <w:rPr>
                <w:rFonts w:eastAsia="Arial"/>
              </w:rPr>
              <w:t>Beach Handball</w:t>
            </w:r>
          </w:p>
        </w:tc>
      </w:tr>
      <w:tr w:rsidR="00FF1850" w:rsidRPr="00BE7D04" w14:paraId="412D6455" w14:textId="77777777" w:rsidTr="00FF1850">
        <w:tc>
          <w:tcPr>
            <w:cnfStyle w:val="001000000000" w:firstRow="0" w:lastRow="0" w:firstColumn="1" w:lastColumn="0" w:oddVBand="0" w:evenVBand="0" w:oddHBand="0" w:evenHBand="0" w:firstRowFirstColumn="0" w:firstRowLastColumn="0" w:lastRowFirstColumn="0" w:lastRowLastColumn="0"/>
            <w:tcW w:w="3823" w:type="dxa"/>
          </w:tcPr>
          <w:p w14:paraId="70B96FBA" w14:textId="77777777" w:rsidR="00FF1850" w:rsidRPr="00BE7D04" w:rsidRDefault="00FF1850" w:rsidP="007C1EC5">
            <w:r w:rsidRPr="00BE7D04">
              <w:rPr>
                <w:rFonts w:eastAsia="Arial"/>
              </w:rPr>
              <w:t xml:space="preserve">National Auditorium / </w:t>
            </w:r>
            <w:proofErr w:type="spellStart"/>
            <w:r w:rsidRPr="00BE7D04">
              <w:rPr>
                <w:rFonts w:eastAsia="Arial"/>
              </w:rPr>
              <w:t>Aroa</w:t>
            </w:r>
            <w:proofErr w:type="spellEnd"/>
            <w:r w:rsidRPr="00BE7D04">
              <w:rPr>
                <w:rFonts w:eastAsia="Arial"/>
              </w:rPr>
              <w:t xml:space="preserve"> Nui Hall</w:t>
            </w:r>
          </w:p>
        </w:tc>
        <w:tc>
          <w:tcPr>
            <w:tcW w:w="4860" w:type="dxa"/>
          </w:tcPr>
          <w:p w14:paraId="15002237" w14:textId="77777777" w:rsidR="00FF1850" w:rsidRPr="00BE7D04" w:rsidRDefault="00FF1850" w:rsidP="007C1EC5">
            <w:pPr>
              <w:cnfStyle w:val="000000000000" w:firstRow="0" w:lastRow="0" w:firstColumn="0" w:lastColumn="0" w:oddVBand="0" w:evenVBand="0" w:oddHBand="0" w:evenHBand="0" w:firstRowFirstColumn="0" w:firstRowLastColumn="0" w:lastRowFirstColumn="0" w:lastRowLastColumn="0"/>
            </w:pPr>
            <w:r w:rsidRPr="00BE7D04">
              <w:rPr>
                <w:rFonts w:eastAsia="Arial"/>
              </w:rPr>
              <w:t>Weightlifting (alternate)</w:t>
            </w:r>
          </w:p>
        </w:tc>
      </w:tr>
    </w:tbl>
    <w:p w14:paraId="47E859C5" w14:textId="77777777" w:rsidR="00FF1850" w:rsidRPr="00BE7D04" w:rsidRDefault="00FF1850" w:rsidP="00E724E7">
      <w:pPr>
        <w:rPr>
          <w:rStyle w:val="Strong"/>
        </w:rPr>
      </w:pPr>
    </w:p>
    <w:p w14:paraId="1E5C28A6" w14:textId="1F019579" w:rsidR="0013063E" w:rsidRPr="00BE7D04" w:rsidRDefault="0013063E" w:rsidP="00E724E7">
      <w:pPr>
        <w:rPr>
          <w:rStyle w:val="Strong"/>
        </w:rPr>
      </w:pPr>
      <w:r w:rsidRPr="00BE7D04">
        <w:rPr>
          <w:rStyle w:val="Strong"/>
        </w:rPr>
        <w:t xml:space="preserve">Part </w:t>
      </w:r>
      <w:r w:rsidR="00735E27">
        <w:rPr>
          <w:rStyle w:val="Strong"/>
        </w:rPr>
        <w:t>5</w:t>
      </w:r>
      <w:r w:rsidRPr="00BE7D04">
        <w:rPr>
          <w:rStyle w:val="Strong"/>
        </w:rPr>
        <w:t xml:space="preserve">: </w:t>
      </w:r>
      <w:r w:rsidR="00FF1850" w:rsidRPr="00BE7D04">
        <w:rPr>
          <w:rStyle w:val="Strong"/>
        </w:rPr>
        <w:t>Deliverables</w:t>
      </w:r>
    </w:p>
    <w:tbl>
      <w:tblPr>
        <w:tblStyle w:val="GridTable1Light-Accent1"/>
        <w:tblW w:w="8360" w:type="dxa"/>
        <w:tblLook w:val="04A0" w:firstRow="1" w:lastRow="0" w:firstColumn="1" w:lastColumn="0" w:noHBand="0" w:noVBand="1"/>
      </w:tblPr>
      <w:tblGrid>
        <w:gridCol w:w="720"/>
        <w:gridCol w:w="5400"/>
        <w:gridCol w:w="2240"/>
      </w:tblGrid>
      <w:tr w:rsidR="00BE7D04" w:rsidRPr="00BE7D04" w14:paraId="29AB0CDA" w14:textId="77777777" w:rsidTr="00BE7D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14:paraId="42646D45" w14:textId="77777777" w:rsidR="00FF1850" w:rsidRPr="00BE7D04" w:rsidRDefault="00FF1850" w:rsidP="007C1EC5">
            <w:pPr>
              <w:rPr>
                <w:color w:val="000000" w:themeColor="text1"/>
              </w:rPr>
            </w:pPr>
            <w:r w:rsidRPr="00BE7D04">
              <w:rPr>
                <w:rFonts w:eastAsia="Arial"/>
                <w:color w:val="000000" w:themeColor="text1"/>
              </w:rPr>
              <w:t>No.</w:t>
            </w:r>
          </w:p>
        </w:tc>
        <w:tc>
          <w:tcPr>
            <w:tcW w:w="5400" w:type="dxa"/>
          </w:tcPr>
          <w:p w14:paraId="21C0D9CB" w14:textId="77777777" w:rsidR="00FF1850" w:rsidRPr="00BE7D04" w:rsidRDefault="00FF1850" w:rsidP="007C1EC5">
            <w:pPr>
              <w:cnfStyle w:val="100000000000" w:firstRow="1" w:lastRow="0" w:firstColumn="0" w:lastColumn="0" w:oddVBand="0" w:evenVBand="0" w:oddHBand="0" w:evenHBand="0" w:firstRowFirstColumn="0" w:firstRowLastColumn="0" w:lastRowFirstColumn="0" w:lastRowLastColumn="0"/>
              <w:rPr>
                <w:color w:val="000000" w:themeColor="text1"/>
              </w:rPr>
            </w:pPr>
            <w:r w:rsidRPr="00BE7D04">
              <w:rPr>
                <w:rFonts w:eastAsia="Arial"/>
                <w:color w:val="000000" w:themeColor="text1"/>
              </w:rPr>
              <w:t>Deliverable</w:t>
            </w:r>
          </w:p>
        </w:tc>
        <w:tc>
          <w:tcPr>
            <w:tcW w:w="2240" w:type="dxa"/>
          </w:tcPr>
          <w:p w14:paraId="7E6FFF88" w14:textId="77777777" w:rsidR="00FF1850" w:rsidRPr="00BE7D04" w:rsidRDefault="00FF1850" w:rsidP="007C1EC5">
            <w:pPr>
              <w:cnfStyle w:val="100000000000" w:firstRow="1" w:lastRow="0" w:firstColumn="0" w:lastColumn="0" w:oddVBand="0" w:evenVBand="0" w:oddHBand="0" w:evenHBand="0" w:firstRowFirstColumn="0" w:firstRowLastColumn="0" w:lastRowFirstColumn="0" w:lastRowLastColumn="0"/>
              <w:rPr>
                <w:color w:val="000000" w:themeColor="text1"/>
              </w:rPr>
            </w:pPr>
            <w:r w:rsidRPr="00BE7D04">
              <w:rPr>
                <w:rFonts w:eastAsia="Arial"/>
                <w:color w:val="000000" w:themeColor="text1"/>
              </w:rPr>
              <w:t>Timing</w:t>
            </w:r>
          </w:p>
        </w:tc>
      </w:tr>
      <w:tr w:rsidR="00FF1850" w:rsidRPr="00BE7D04" w14:paraId="51B6B0D9" w14:textId="77777777" w:rsidTr="00BE7D04">
        <w:tc>
          <w:tcPr>
            <w:cnfStyle w:val="001000000000" w:firstRow="0" w:lastRow="0" w:firstColumn="1" w:lastColumn="0" w:oddVBand="0" w:evenVBand="0" w:oddHBand="0" w:evenHBand="0" w:firstRowFirstColumn="0" w:firstRowLastColumn="0" w:lastRowFirstColumn="0" w:lastRowLastColumn="0"/>
            <w:tcW w:w="720" w:type="dxa"/>
          </w:tcPr>
          <w:p w14:paraId="2218D832" w14:textId="77777777" w:rsidR="00FF1850" w:rsidRPr="00BE7D04" w:rsidRDefault="00FF1850" w:rsidP="007C1EC5">
            <w:r w:rsidRPr="00BE7D04">
              <w:rPr>
                <w:rFonts w:eastAsia="Arial"/>
              </w:rPr>
              <w:t>1</w:t>
            </w:r>
          </w:p>
        </w:tc>
        <w:tc>
          <w:tcPr>
            <w:tcW w:w="5400" w:type="dxa"/>
          </w:tcPr>
          <w:p w14:paraId="2E2AB734" w14:textId="77777777" w:rsidR="00FF1850" w:rsidRPr="00BE7D04" w:rsidRDefault="00FF1850" w:rsidP="007C1EC5">
            <w:pPr>
              <w:cnfStyle w:val="000000000000" w:firstRow="0" w:lastRow="0" w:firstColumn="0" w:lastColumn="0" w:oddVBand="0" w:evenVBand="0" w:oddHBand="0" w:evenHBand="0" w:firstRowFirstColumn="0" w:firstRowLastColumn="0" w:lastRowFirstColumn="0" w:lastRowLastColumn="0"/>
            </w:pPr>
            <w:r w:rsidRPr="00BE7D04">
              <w:rPr>
                <w:rFonts w:eastAsia="Arial"/>
              </w:rPr>
              <w:t>Assessment frameworks (all areas) agreed with CIIC</w:t>
            </w:r>
          </w:p>
        </w:tc>
        <w:tc>
          <w:tcPr>
            <w:tcW w:w="2240" w:type="dxa"/>
          </w:tcPr>
          <w:p w14:paraId="37C312D8" w14:textId="31569BE2" w:rsidR="00FF1850" w:rsidRPr="00BE7D04" w:rsidRDefault="00FF1850" w:rsidP="007C1EC5">
            <w:pPr>
              <w:cnfStyle w:val="000000000000" w:firstRow="0" w:lastRow="0" w:firstColumn="0" w:lastColumn="0" w:oddVBand="0" w:evenVBand="0" w:oddHBand="0" w:evenHBand="0" w:firstRowFirstColumn="0" w:firstRowLastColumn="0" w:lastRowFirstColumn="0" w:lastRowLastColumn="0"/>
            </w:pPr>
            <w:r w:rsidRPr="00BE7D04">
              <w:rPr>
                <w:rFonts w:eastAsia="Arial"/>
              </w:rPr>
              <w:t>Weeks 1–</w:t>
            </w:r>
            <w:r w:rsidR="00BE7D04" w:rsidRPr="00BE7D04">
              <w:rPr>
                <w:rFonts w:eastAsia="Arial"/>
              </w:rPr>
              <w:t>3</w:t>
            </w:r>
          </w:p>
        </w:tc>
      </w:tr>
      <w:tr w:rsidR="00FF1850" w:rsidRPr="00BE7D04" w14:paraId="2FB2B538" w14:textId="77777777" w:rsidTr="00BE7D04">
        <w:tc>
          <w:tcPr>
            <w:cnfStyle w:val="001000000000" w:firstRow="0" w:lastRow="0" w:firstColumn="1" w:lastColumn="0" w:oddVBand="0" w:evenVBand="0" w:oddHBand="0" w:evenHBand="0" w:firstRowFirstColumn="0" w:firstRowLastColumn="0" w:lastRowFirstColumn="0" w:lastRowLastColumn="0"/>
            <w:tcW w:w="720" w:type="dxa"/>
          </w:tcPr>
          <w:p w14:paraId="68AB6080" w14:textId="77777777" w:rsidR="00FF1850" w:rsidRPr="00BE7D04" w:rsidRDefault="00FF1850" w:rsidP="007C1EC5">
            <w:r w:rsidRPr="00BE7D04">
              <w:rPr>
                <w:rFonts w:eastAsia="Arial"/>
              </w:rPr>
              <w:t>2</w:t>
            </w:r>
          </w:p>
        </w:tc>
        <w:tc>
          <w:tcPr>
            <w:tcW w:w="5400" w:type="dxa"/>
          </w:tcPr>
          <w:p w14:paraId="11A20F61" w14:textId="77777777" w:rsidR="00FF1850" w:rsidRPr="00BE7D04" w:rsidRDefault="00FF1850" w:rsidP="007C1EC5">
            <w:pPr>
              <w:cnfStyle w:val="000000000000" w:firstRow="0" w:lastRow="0" w:firstColumn="0" w:lastColumn="0" w:oddVBand="0" w:evenVBand="0" w:oddHBand="0" w:evenHBand="0" w:firstRowFirstColumn="0" w:firstRowLastColumn="0" w:lastRowFirstColumn="0" w:lastRowLastColumn="0"/>
            </w:pPr>
            <w:r w:rsidRPr="00BE7D04">
              <w:rPr>
                <w:rFonts w:eastAsia="Arial"/>
              </w:rPr>
              <w:t>Pilot assessment completed and frameworks calibrated</w:t>
            </w:r>
          </w:p>
        </w:tc>
        <w:tc>
          <w:tcPr>
            <w:tcW w:w="2240" w:type="dxa"/>
          </w:tcPr>
          <w:p w14:paraId="1134BFE7" w14:textId="3D579680" w:rsidR="00FF1850" w:rsidRPr="00BE7D04" w:rsidRDefault="00FF1850" w:rsidP="007C1EC5">
            <w:pPr>
              <w:cnfStyle w:val="000000000000" w:firstRow="0" w:lastRow="0" w:firstColumn="0" w:lastColumn="0" w:oddVBand="0" w:evenVBand="0" w:oddHBand="0" w:evenHBand="0" w:firstRowFirstColumn="0" w:firstRowLastColumn="0" w:lastRowFirstColumn="0" w:lastRowLastColumn="0"/>
            </w:pPr>
            <w:r w:rsidRPr="00BE7D04">
              <w:rPr>
                <w:rFonts w:eastAsia="Arial"/>
              </w:rPr>
              <w:t>Week 2–</w:t>
            </w:r>
            <w:r w:rsidR="00BE7D04" w:rsidRPr="00BE7D04">
              <w:rPr>
                <w:rFonts w:eastAsia="Arial"/>
              </w:rPr>
              <w:t>4</w:t>
            </w:r>
          </w:p>
        </w:tc>
      </w:tr>
      <w:tr w:rsidR="00FF1850" w:rsidRPr="00BE7D04" w14:paraId="77D77936" w14:textId="77777777" w:rsidTr="00BE7D04">
        <w:tc>
          <w:tcPr>
            <w:cnfStyle w:val="001000000000" w:firstRow="0" w:lastRow="0" w:firstColumn="1" w:lastColumn="0" w:oddVBand="0" w:evenVBand="0" w:oddHBand="0" w:evenHBand="0" w:firstRowFirstColumn="0" w:firstRowLastColumn="0" w:lastRowFirstColumn="0" w:lastRowLastColumn="0"/>
            <w:tcW w:w="720" w:type="dxa"/>
          </w:tcPr>
          <w:p w14:paraId="75DEF6F0" w14:textId="77777777" w:rsidR="00FF1850" w:rsidRPr="00BE7D04" w:rsidRDefault="00FF1850" w:rsidP="007C1EC5">
            <w:r w:rsidRPr="00BE7D04">
              <w:rPr>
                <w:rFonts w:eastAsia="Arial"/>
              </w:rPr>
              <w:t>3</w:t>
            </w:r>
          </w:p>
        </w:tc>
        <w:tc>
          <w:tcPr>
            <w:tcW w:w="5400" w:type="dxa"/>
          </w:tcPr>
          <w:p w14:paraId="05B44DFA" w14:textId="37646F8A" w:rsidR="00FF1850" w:rsidRPr="00BE7D04" w:rsidRDefault="00FF1850" w:rsidP="007C1EC5">
            <w:pPr>
              <w:cnfStyle w:val="000000000000" w:firstRow="0" w:lastRow="0" w:firstColumn="0" w:lastColumn="0" w:oddVBand="0" w:evenVBand="0" w:oddHBand="0" w:evenHBand="0" w:firstRowFirstColumn="0" w:firstRowLastColumn="0" w:lastRowFirstColumn="0" w:lastRowLastColumn="0"/>
            </w:pPr>
            <w:r w:rsidRPr="00BE7D04">
              <w:rPr>
                <w:rFonts w:eastAsia="Arial"/>
              </w:rPr>
              <w:t xml:space="preserve">Part </w:t>
            </w:r>
            <w:r w:rsidR="00735E27">
              <w:rPr>
                <w:rFonts w:eastAsia="Arial"/>
              </w:rPr>
              <w:t>2</w:t>
            </w:r>
            <w:r w:rsidRPr="00BE7D04">
              <w:rPr>
                <w:rFonts w:eastAsia="Arial"/>
              </w:rPr>
              <w:t xml:space="preserve"> — Accommodation &amp; dining venue assessment outputs</w:t>
            </w:r>
          </w:p>
        </w:tc>
        <w:tc>
          <w:tcPr>
            <w:tcW w:w="2240" w:type="dxa"/>
          </w:tcPr>
          <w:p w14:paraId="71201BCD" w14:textId="78A9F553" w:rsidR="00FF1850" w:rsidRPr="00BE7D04" w:rsidRDefault="00FF1850" w:rsidP="007C1EC5">
            <w:pPr>
              <w:cnfStyle w:val="000000000000" w:firstRow="0" w:lastRow="0" w:firstColumn="0" w:lastColumn="0" w:oddVBand="0" w:evenVBand="0" w:oddHBand="0" w:evenHBand="0" w:firstRowFirstColumn="0" w:firstRowLastColumn="0" w:lastRowFirstColumn="0" w:lastRowLastColumn="0"/>
            </w:pPr>
            <w:r w:rsidRPr="00BE7D04">
              <w:rPr>
                <w:rFonts w:eastAsia="Arial"/>
              </w:rPr>
              <w:t xml:space="preserve">Weeks </w:t>
            </w:r>
            <w:r w:rsidR="00BE7D04" w:rsidRPr="00BE7D04">
              <w:rPr>
                <w:rFonts w:eastAsia="Arial"/>
              </w:rPr>
              <w:t>3</w:t>
            </w:r>
            <w:r w:rsidRPr="00BE7D04">
              <w:rPr>
                <w:rFonts w:eastAsia="Arial"/>
              </w:rPr>
              <w:t>–</w:t>
            </w:r>
            <w:r w:rsidR="00BE7D04" w:rsidRPr="00BE7D04">
              <w:rPr>
                <w:rFonts w:eastAsia="Arial"/>
              </w:rPr>
              <w:t>6</w:t>
            </w:r>
          </w:p>
        </w:tc>
      </w:tr>
      <w:tr w:rsidR="00FF1850" w:rsidRPr="00BE7D04" w14:paraId="289D5A05" w14:textId="77777777" w:rsidTr="00BE7D04">
        <w:tc>
          <w:tcPr>
            <w:cnfStyle w:val="001000000000" w:firstRow="0" w:lastRow="0" w:firstColumn="1" w:lastColumn="0" w:oddVBand="0" w:evenVBand="0" w:oddHBand="0" w:evenHBand="0" w:firstRowFirstColumn="0" w:firstRowLastColumn="0" w:lastRowFirstColumn="0" w:lastRowLastColumn="0"/>
            <w:tcW w:w="720" w:type="dxa"/>
          </w:tcPr>
          <w:p w14:paraId="205202A2" w14:textId="77777777" w:rsidR="00FF1850" w:rsidRPr="00BE7D04" w:rsidRDefault="00FF1850" w:rsidP="007C1EC5">
            <w:r w:rsidRPr="00BE7D04">
              <w:rPr>
                <w:rFonts w:eastAsia="Arial"/>
              </w:rPr>
              <w:t>4</w:t>
            </w:r>
          </w:p>
        </w:tc>
        <w:tc>
          <w:tcPr>
            <w:tcW w:w="5400" w:type="dxa"/>
          </w:tcPr>
          <w:p w14:paraId="053BB7A1" w14:textId="64EAB79E" w:rsidR="00FF1850" w:rsidRPr="00BE7D04" w:rsidRDefault="00FF1850" w:rsidP="007C1EC5">
            <w:pPr>
              <w:cnfStyle w:val="000000000000" w:firstRow="0" w:lastRow="0" w:firstColumn="0" w:lastColumn="0" w:oddVBand="0" w:evenVBand="0" w:oddHBand="0" w:evenHBand="0" w:firstRowFirstColumn="0" w:firstRowLastColumn="0" w:lastRowFirstColumn="0" w:lastRowLastColumn="0"/>
            </w:pPr>
            <w:r w:rsidRPr="00BE7D04">
              <w:rPr>
                <w:rFonts w:eastAsia="Arial"/>
              </w:rPr>
              <w:t xml:space="preserve">Part </w:t>
            </w:r>
            <w:r w:rsidR="00735E27">
              <w:rPr>
                <w:rFonts w:eastAsia="Arial"/>
              </w:rPr>
              <w:t>3</w:t>
            </w:r>
            <w:r w:rsidRPr="00BE7D04">
              <w:rPr>
                <w:rFonts w:eastAsia="Arial"/>
              </w:rPr>
              <w:t xml:space="preserve"> — Training venue assessment outputs</w:t>
            </w:r>
          </w:p>
        </w:tc>
        <w:tc>
          <w:tcPr>
            <w:tcW w:w="2240" w:type="dxa"/>
          </w:tcPr>
          <w:p w14:paraId="5F00467F" w14:textId="75A07A71" w:rsidR="00FF1850" w:rsidRPr="00BE7D04" w:rsidRDefault="00FF1850" w:rsidP="007C1EC5">
            <w:pPr>
              <w:cnfStyle w:val="000000000000" w:firstRow="0" w:lastRow="0" w:firstColumn="0" w:lastColumn="0" w:oddVBand="0" w:evenVBand="0" w:oddHBand="0" w:evenHBand="0" w:firstRowFirstColumn="0" w:firstRowLastColumn="0" w:lastRowFirstColumn="0" w:lastRowLastColumn="0"/>
            </w:pPr>
            <w:r w:rsidRPr="00BE7D04">
              <w:rPr>
                <w:rFonts w:eastAsia="Arial"/>
              </w:rPr>
              <w:t xml:space="preserve">Weeks </w:t>
            </w:r>
            <w:r w:rsidR="00BE7D04" w:rsidRPr="00BE7D04">
              <w:rPr>
                <w:rFonts w:eastAsia="Arial"/>
              </w:rPr>
              <w:t>6</w:t>
            </w:r>
            <w:r w:rsidRPr="00BE7D04">
              <w:rPr>
                <w:rFonts w:eastAsia="Arial"/>
              </w:rPr>
              <w:t>–</w:t>
            </w:r>
            <w:r w:rsidR="00BE7D04" w:rsidRPr="00BE7D04">
              <w:rPr>
                <w:rFonts w:eastAsia="Arial"/>
              </w:rPr>
              <w:t>9</w:t>
            </w:r>
          </w:p>
        </w:tc>
      </w:tr>
      <w:tr w:rsidR="00FF1850" w:rsidRPr="00BE7D04" w14:paraId="7860EB3E" w14:textId="77777777" w:rsidTr="00BE7D04">
        <w:tc>
          <w:tcPr>
            <w:cnfStyle w:val="001000000000" w:firstRow="0" w:lastRow="0" w:firstColumn="1" w:lastColumn="0" w:oddVBand="0" w:evenVBand="0" w:oddHBand="0" w:evenHBand="0" w:firstRowFirstColumn="0" w:firstRowLastColumn="0" w:lastRowFirstColumn="0" w:lastRowLastColumn="0"/>
            <w:tcW w:w="720" w:type="dxa"/>
          </w:tcPr>
          <w:p w14:paraId="37932A2A" w14:textId="77777777" w:rsidR="00FF1850" w:rsidRPr="00BE7D04" w:rsidRDefault="00FF1850" w:rsidP="007C1EC5">
            <w:r w:rsidRPr="00BE7D04">
              <w:rPr>
                <w:rFonts w:eastAsia="Arial"/>
              </w:rPr>
              <w:t>5</w:t>
            </w:r>
          </w:p>
        </w:tc>
        <w:tc>
          <w:tcPr>
            <w:tcW w:w="5400" w:type="dxa"/>
          </w:tcPr>
          <w:p w14:paraId="23C55784" w14:textId="76E594FC" w:rsidR="00FF1850" w:rsidRPr="00BE7D04" w:rsidRDefault="00FF1850" w:rsidP="007C1EC5">
            <w:pPr>
              <w:cnfStyle w:val="000000000000" w:firstRow="0" w:lastRow="0" w:firstColumn="0" w:lastColumn="0" w:oddVBand="0" w:evenVBand="0" w:oddHBand="0" w:evenHBand="0" w:firstRowFirstColumn="0" w:firstRowLastColumn="0" w:lastRowFirstColumn="0" w:lastRowLastColumn="0"/>
            </w:pPr>
            <w:r w:rsidRPr="00BE7D04">
              <w:rPr>
                <w:rFonts w:eastAsia="Arial"/>
              </w:rPr>
              <w:t xml:space="preserve">Part </w:t>
            </w:r>
            <w:r w:rsidR="00735E27">
              <w:rPr>
                <w:rFonts w:eastAsia="Arial"/>
              </w:rPr>
              <w:t>4</w:t>
            </w:r>
            <w:r w:rsidRPr="00BE7D04">
              <w:rPr>
                <w:rFonts w:eastAsia="Arial"/>
              </w:rPr>
              <w:t xml:space="preserve"> — Competition venue assessment outputs</w:t>
            </w:r>
          </w:p>
        </w:tc>
        <w:tc>
          <w:tcPr>
            <w:tcW w:w="2240" w:type="dxa"/>
          </w:tcPr>
          <w:p w14:paraId="64BB16A7" w14:textId="7074CA2A" w:rsidR="00FF1850" w:rsidRPr="00BE7D04" w:rsidRDefault="00FF1850" w:rsidP="007C1EC5">
            <w:pPr>
              <w:cnfStyle w:val="000000000000" w:firstRow="0" w:lastRow="0" w:firstColumn="0" w:lastColumn="0" w:oddVBand="0" w:evenVBand="0" w:oddHBand="0" w:evenHBand="0" w:firstRowFirstColumn="0" w:firstRowLastColumn="0" w:lastRowFirstColumn="0" w:lastRowLastColumn="0"/>
            </w:pPr>
            <w:r w:rsidRPr="00BE7D04">
              <w:rPr>
                <w:rFonts w:eastAsia="Arial"/>
              </w:rPr>
              <w:t xml:space="preserve">Weeks </w:t>
            </w:r>
            <w:r w:rsidR="00BE7D04" w:rsidRPr="00BE7D04">
              <w:rPr>
                <w:rFonts w:eastAsia="Arial"/>
              </w:rPr>
              <w:t>9</w:t>
            </w:r>
            <w:r w:rsidRPr="00BE7D04">
              <w:rPr>
                <w:rFonts w:eastAsia="Arial"/>
              </w:rPr>
              <w:t>–</w:t>
            </w:r>
            <w:r w:rsidR="00BE7D04" w:rsidRPr="00BE7D04">
              <w:rPr>
                <w:rFonts w:eastAsia="Arial"/>
              </w:rPr>
              <w:t>11</w:t>
            </w:r>
          </w:p>
        </w:tc>
      </w:tr>
      <w:tr w:rsidR="00FF1850" w:rsidRPr="00BE7D04" w14:paraId="08FF4990" w14:textId="77777777" w:rsidTr="00BE7D04">
        <w:tc>
          <w:tcPr>
            <w:cnfStyle w:val="001000000000" w:firstRow="0" w:lastRow="0" w:firstColumn="1" w:lastColumn="0" w:oddVBand="0" w:evenVBand="0" w:oddHBand="0" w:evenHBand="0" w:firstRowFirstColumn="0" w:firstRowLastColumn="0" w:lastRowFirstColumn="0" w:lastRowLastColumn="0"/>
            <w:tcW w:w="720" w:type="dxa"/>
          </w:tcPr>
          <w:p w14:paraId="392D9CEA" w14:textId="77777777" w:rsidR="00FF1850" w:rsidRPr="00BE7D04" w:rsidRDefault="00FF1850" w:rsidP="007C1EC5">
            <w:r w:rsidRPr="00BE7D04">
              <w:rPr>
                <w:rFonts w:eastAsia="Arial"/>
              </w:rPr>
              <w:t>6</w:t>
            </w:r>
          </w:p>
        </w:tc>
        <w:tc>
          <w:tcPr>
            <w:tcW w:w="5400" w:type="dxa"/>
          </w:tcPr>
          <w:p w14:paraId="25E98C5C" w14:textId="77777777" w:rsidR="00FF1850" w:rsidRPr="00BE7D04" w:rsidRDefault="00FF1850" w:rsidP="007C1EC5">
            <w:pPr>
              <w:cnfStyle w:val="000000000000" w:firstRow="0" w:lastRow="0" w:firstColumn="0" w:lastColumn="0" w:oddVBand="0" w:evenVBand="0" w:oddHBand="0" w:evenHBand="0" w:firstRowFirstColumn="0" w:firstRowLastColumn="0" w:lastRowFirstColumn="0" w:lastRowLastColumn="0"/>
            </w:pPr>
            <w:r w:rsidRPr="00BE7D04">
              <w:rPr>
                <w:rFonts w:eastAsia="Arial"/>
              </w:rPr>
              <w:t>Final consolidated assessment pack (all venues, all parts)</w:t>
            </w:r>
          </w:p>
        </w:tc>
        <w:tc>
          <w:tcPr>
            <w:tcW w:w="2240" w:type="dxa"/>
          </w:tcPr>
          <w:p w14:paraId="0BBA669D" w14:textId="7B6F1E24" w:rsidR="00FF1850" w:rsidRPr="00BE7D04" w:rsidRDefault="00FF1850" w:rsidP="007C1EC5">
            <w:pPr>
              <w:cnfStyle w:val="000000000000" w:firstRow="0" w:lastRow="0" w:firstColumn="0" w:lastColumn="0" w:oddVBand="0" w:evenVBand="0" w:oddHBand="0" w:evenHBand="0" w:firstRowFirstColumn="0" w:firstRowLastColumn="0" w:lastRowFirstColumn="0" w:lastRowLastColumn="0"/>
            </w:pPr>
            <w:r w:rsidRPr="00BE7D04">
              <w:rPr>
                <w:rFonts w:eastAsia="Arial"/>
              </w:rPr>
              <w:t xml:space="preserve">Week </w:t>
            </w:r>
            <w:r w:rsidR="00BE7D04" w:rsidRPr="00BE7D04">
              <w:rPr>
                <w:rFonts w:eastAsia="Arial"/>
              </w:rPr>
              <w:t>12</w:t>
            </w:r>
          </w:p>
        </w:tc>
      </w:tr>
    </w:tbl>
    <w:p w14:paraId="44B5D973" w14:textId="77777777" w:rsidR="00FF1850" w:rsidRPr="00BE7D04" w:rsidRDefault="00FF1850" w:rsidP="00FF1850">
      <w:pPr>
        <w:spacing w:before="60" w:after="60"/>
      </w:pPr>
    </w:p>
    <w:p w14:paraId="0F63FD34" w14:textId="316CA69A" w:rsidR="00FF1850" w:rsidRDefault="00FF1850" w:rsidP="00FF1850">
      <w:pPr>
        <w:spacing w:before="80" w:after="80"/>
        <w:rPr>
          <w:rFonts w:eastAsia="Arial"/>
        </w:rPr>
      </w:pPr>
      <w:r w:rsidRPr="00BE7D04">
        <w:rPr>
          <w:rFonts w:eastAsia="Arial"/>
        </w:rPr>
        <w:t xml:space="preserve">All outputs shall be provided in templates agreed at engagement commencement. </w:t>
      </w:r>
    </w:p>
    <w:p w14:paraId="30402C93" w14:textId="28FAD9F2" w:rsidR="00AA646F" w:rsidRDefault="00AA646F" w:rsidP="00FF1850">
      <w:pPr>
        <w:spacing w:before="80" w:after="80"/>
        <w:rPr>
          <w:rFonts w:eastAsia="Arial"/>
        </w:rPr>
      </w:pPr>
    </w:p>
    <w:p w14:paraId="3A87EAE3" w14:textId="5A42213E" w:rsidR="00AA646F" w:rsidRDefault="00AA646F" w:rsidP="00AA646F">
      <w:pPr>
        <w:pStyle w:val="Heading1"/>
      </w:pPr>
      <w:r w:rsidRPr="00AA646F">
        <w:t>Working Arrangements</w:t>
      </w:r>
    </w:p>
    <w:p w14:paraId="73E83A1B" w14:textId="71F4908D" w:rsidR="00AA646F" w:rsidRPr="00AA646F" w:rsidRDefault="00AA646F" w:rsidP="00AA646F">
      <w:pPr>
        <w:rPr>
          <w:lang w:val="en-NZ" w:bidi="ar-DZ"/>
        </w:rPr>
      </w:pPr>
      <w:r w:rsidRPr="00AA646F">
        <w:rPr>
          <w:lang w:val="en-NZ" w:bidi="ar-DZ"/>
        </w:rPr>
        <w:t xml:space="preserve">The TA will work </w:t>
      </w:r>
      <w:r>
        <w:rPr>
          <w:lang w:val="en-NZ" w:bidi="ar-DZ"/>
        </w:rPr>
        <w:t>with the GM</w:t>
      </w:r>
      <w:r w:rsidRPr="00AA646F">
        <w:rPr>
          <w:lang w:val="en-NZ" w:bidi="ar-DZ"/>
        </w:rPr>
        <w:t xml:space="preserve">, Asset Management and will collaborate on a day-to-day basis with </w:t>
      </w:r>
      <w:r>
        <w:rPr>
          <w:lang w:val="en-NZ" w:bidi="ar-DZ"/>
        </w:rPr>
        <w:t>designated staff.</w:t>
      </w:r>
    </w:p>
    <w:p w14:paraId="321177AC" w14:textId="046A7A33" w:rsidR="00AA646F" w:rsidRPr="00AA646F" w:rsidRDefault="00AA646F" w:rsidP="00AA646F">
      <w:pPr>
        <w:spacing w:after="0"/>
        <w:rPr>
          <w:lang w:val="en-NZ" w:bidi="ar-DZ"/>
        </w:rPr>
      </w:pPr>
      <w:r w:rsidRPr="00AA646F">
        <w:rPr>
          <w:lang w:val="en-NZ" w:bidi="ar-DZ"/>
        </w:rPr>
        <w:t>•</w:t>
      </w:r>
      <w:r w:rsidRPr="00AA646F">
        <w:rPr>
          <w:lang w:val="en-NZ" w:bidi="ar-DZ"/>
        </w:rPr>
        <w:tab/>
      </w:r>
      <w:r>
        <w:rPr>
          <w:lang w:val="en-NZ" w:bidi="ar-DZ"/>
        </w:rPr>
        <w:t xml:space="preserve">AM </w:t>
      </w:r>
      <w:r w:rsidRPr="00AA646F">
        <w:rPr>
          <w:lang w:val="en-NZ" w:bidi="ar-DZ"/>
        </w:rPr>
        <w:t>will coordinate site access, stakeholder engagement and scheduling</w:t>
      </w:r>
    </w:p>
    <w:p w14:paraId="6328BD46" w14:textId="764FB504" w:rsidR="00AA646F" w:rsidRPr="00AA646F" w:rsidRDefault="00AA646F" w:rsidP="00AA646F">
      <w:pPr>
        <w:spacing w:after="0"/>
        <w:rPr>
          <w:lang w:val="en-NZ" w:bidi="ar-DZ"/>
        </w:rPr>
      </w:pPr>
      <w:r w:rsidRPr="00AA646F">
        <w:rPr>
          <w:lang w:val="en-NZ" w:bidi="ar-DZ"/>
        </w:rPr>
        <w:t>•</w:t>
      </w:r>
      <w:r w:rsidRPr="00AA646F">
        <w:rPr>
          <w:lang w:val="en-NZ" w:bidi="ar-DZ"/>
        </w:rPr>
        <w:tab/>
        <w:t>The TA is responsible for technical outputs — assessment scopes, condition ratings</w:t>
      </w:r>
      <w:r w:rsidR="00183F01">
        <w:rPr>
          <w:lang w:val="en-NZ" w:bidi="ar-DZ"/>
        </w:rPr>
        <w:t>, quantity surveys</w:t>
      </w:r>
      <w:r w:rsidRPr="00AA646F">
        <w:rPr>
          <w:lang w:val="en-NZ" w:bidi="ar-DZ"/>
        </w:rPr>
        <w:t xml:space="preserve"> and cost estimates</w:t>
      </w:r>
    </w:p>
    <w:p w14:paraId="2CF224AF" w14:textId="5BD13459" w:rsidR="00AA646F" w:rsidRPr="00AA646F" w:rsidRDefault="00AA646F" w:rsidP="00AA646F">
      <w:pPr>
        <w:spacing w:after="0"/>
        <w:rPr>
          <w:lang w:val="en-NZ" w:bidi="ar-DZ"/>
        </w:rPr>
      </w:pPr>
      <w:r w:rsidRPr="00AA646F">
        <w:rPr>
          <w:lang w:val="en-NZ" w:bidi="ar-DZ"/>
        </w:rPr>
        <w:t>•</w:t>
      </w:r>
      <w:r w:rsidRPr="00AA646F">
        <w:rPr>
          <w:lang w:val="en-NZ" w:bidi="ar-DZ"/>
        </w:rPr>
        <w:tab/>
        <w:t>The TA will not be responsible for stakeholder management</w:t>
      </w:r>
    </w:p>
    <w:p w14:paraId="36023D76" w14:textId="17917078" w:rsidR="00AA646F" w:rsidRPr="00AA646F" w:rsidRDefault="00AA646F" w:rsidP="00AA646F">
      <w:pPr>
        <w:spacing w:after="0"/>
        <w:rPr>
          <w:lang w:val="en-NZ" w:bidi="ar-DZ"/>
        </w:rPr>
      </w:pPr>
      <w:r w:rsidRPr="00AA646F">
        <w:rPr>
          <w:lang w:val="en-NZ" w:bidi="ar-DZ"/>
        </w:rPr>
        <w:t>•</w:t>
      </w:r>
      <w:r w:rsidRPr="00AA646F">
        <w:rPr>
          <w:lang w:val="en-NZ" w:bidi="ar-DZ"/>
        </w:rPr>
        <w:tab/>
        <w:t xml:space="preserve">Weekly </w:t>
      </w:r>
      <w:r>
        <w:rPr>
          <w:lang w:val="en-NZ" w:bidi="ar-DZ"/>
        </w:rPr>
        <w:t xml:space="preserve">or as required </w:t>
      </w:r>
      <w:r w:rsidRPr="00AA646F">
        <w:rPr>
          <w:lang w:val="en-NZ" w:bidi="ar-DZ"/>
        </w:rPr>
        <w:t xml:space="preserve">progress check-ins with the </w:t>
      </w:r>
      <w:r>
        <w:rPr>
          <w:lang w:val="en-NZ" w:bidi="ar-DZ"/>
        </w:rPr>
        <w:t>GM</w:t>
      </w:r>
    </w:p>
    <w:p w14:paraId="4D41C201" w14:textId="23A55902" w:rsidR="0013063E" w:rsidRPr="00482351" w:rsidRDefault="00993238" w:rsidP="00FF1850">
      <w:pPr>
        <w:pStyle w:val="Heading1"/>
      </w:pPr>
      <w:r>
        <w:lastRenderedPageBreak/>
        <w:t>Required Expertise</w:t>
      </w:r>
    </w:p>
    <w:p w14:paraId="3C89BD82" w14:textId="77777777" w:rsidR="00FF1850" w:rsidRPr="00BE7D04" w:rsidRDefault="00FF1850" w:rsidP="00FF1850">
      <w:pPr>
        <w:spacing w:before="80" w:after="80"/>
      </w:pPr>
      <w:r w:rsidRPr="00BE7D04">
        <w:rPr>
          <w:rFonts w:eastAsia="Arial"/>
        </w:rPr>
        <w:t>The TA must demonstrate:</w:t>
      </w:r>
    </w:p>
    <w:p w14:paraId="0B37F886" w14:textId="77777777" w:rsidR="00FF1850" w:rsidRPr="00BE7D04" w:rsidRDefault="00FF1850" w:rsidP="00FB4F7B">
      <w:pPr>
        <w:pStyle w:val="ListParagraph"/>
        <w:numPr>
          <w:ilvl w:val="0"/>
          <w:numId w:val="10"/>
        </w:numPr>
        <w:spacing w:before="60" w:after="60" w:line="240" w:lineRule="auto"/>
        <w:contextualSpacing w:val="0"/>
      </w:pPr>
      <w:r w:rsidRPr="00BE7D04">
        <w:rPr>
          <w:rFonts w:eastAsia="Arial"/>
        </w:rPr>
        <w:t>Proven experience in building condition assessments and scoping for public or community facilities</w:t>
      </w:r>
    </w:p>
    <w:p w14:paraId="7D45ED6A" w14:textId="77777777" w:rsidR="00FF1850" w:rsidRPr="00BE7D04" w:rsidRDefault="00FF1850" w:rsidP="00FB4F7B">
      <w:pPr>
        <w:pStyle w:val="ListParagraph"/>
        <w:numPr>
          <w:ilvl w:val="0"/>
          <w:numId w:val="10"/>
        </w:numPr>
        <w:spacing w:before="60" w:after="60" w:line="240" w:lineRule="auto"/>
        <w:contextualSpacing w:val="0"/>
      </w:pPr>
      <w:r w:rsidRPr="00BE7D04">
        <w:rPr>
          <w:rFonts w:eastAsia="Arial"/>
        </w:rPr>
        <w:t>Experience preparing preliminary capital cost estimates (±30–50% accuracy range)</w:t>
      </w:r>
    </w:p>
    <w:p w14:paraId="7EB1F94F" w14:textId="77777777" w:rsidR="00FF1850" w:rsidRPr="00BE7D04" w:rsidRDefault="00FF1850" w:rsidP="00FB4F7B">
      <w:pPr>
        <w:pStyle w:val="ListParagraph"/>
        <w:numPr>
          <w:ilvl w:val="0"/>
          <w:numId w:val="10"/>
        </w:numPr>
        <w:spacing w:before="60" w:after="60" w:line="240" w:lineRule="auto"/>
        <w:contextualSpacing w:val="0"/>
      </w:pPr>
      <w:r w:rsidRPr="00BE7D04">
        <w:rPr>
          <w:rFonts w:eastAsia="Arial"/>
        </w:rPr>
        <w:t>Knowledge of accessibility, compliance and operational standards relevant to public buildings</w:t>
      </w:r>
    </w:p>
    <w:p w14:paraId="0CB64B01" w14:textId="77777777" w:rsidR="00FF1850" w:rsidRPr="00BE7D04" w:rsidRDefault="00FF1850" w:rsidP="00FB4F7B">
      <w:pPr>
        <w:pStyle w:val="ListParagraph"/>
        <w:numPr>
          <w:ilvl w:val="0"/>
          <w:numId w:val="10"/>
        </w:numPr>
        <w:spacing w:before="60" w:after="60" w:line="240" w:lineRule="auto"/>
        <w:contextualSpacing w:val="0"/>
      </w:pPr>
      <w:r w:rsidRPr="00BE7D04">
        <w:rPr>
          <w:rFonts w:eastAsia="Arial"/>
        </w:rPr>
        <w:t>Familiarity with sports facility technical requirements (competition and training) — experience with multi-sport events desirable</w:t>
      </w:r>
    </w:p>
    <w:p w14:paraId="48683037" w14:textId="77777777" w:rsidR="00FF1850" w:rsidRPr="00BE7D04" w:rsidRDefault="00FF1850" w:rsidP="00FB4F7B">
      <w:pPr>
        <w:pStyle w:val="ListParagraph"/>
        <w:numPr>
          <w:ilvl w:val="0"/>
          <w:numId w:val="10"/>
        </w:numPr>
        <w:spacing w:before="60" w:after="60" w:line="240" w:lineRule="auto"/>
        <w:contextualSpacing w:val="0"/>
      </w:pPr>
      <w:r w:rsidRPr="00BE7D04">
        <w:rPr>
          <w:rFonts w:eastAsia="Arial"/>
        </w:rPr>
        <w:t>Ability to develop and apply consistent assessment methodologies across multiple venue types</w:t>
      </w:r>
    </w:p>
    <w:p w14:paraId="600E996D" w14:textId="77777777" w:rsidR="00FF1850" w:rsidRPr="00BE7D04" w:rsidRDefault="00FF1850" w:rsidP="00FB4F7B">
      <w:pPr>
        <w:pStyle w:val="ListParagraph"/>
        <w:numPr>
          <w:ilvl w:val="0"/>
          <w:numId w:val="10"/>
        </w:numPr>
        <w:spacing w:before="60" w:after="60" w:line="240" w:lineRule="auto"/>
        <w:contextualSpacing w:val="0"/>
      </w:pPr>
      <w:r w:rsidRPr="00BE7D04">
        <w:rPr>
          <w:rFonts w:eastAsia="Arial"/>
        </w:rPr>
        <w:t>Strong written communication skills — outputs must be clear and suitable for government decision-making</w:t>
      </w:r>
    </w:p>
    <w:p w14:paraId="2B20D692" w14:textId="77777777" w:rsidR="00FF1850" w:rsidRPr="00BE7D04" w:rsidRDefault="00FF1850" w:rsidP="00FB4F7B">
      <w:pPr>
        <w:pStyle w:val="ListParagraph"/>
        <w:numPr>
          <w:ilvl w:val="0"/>
          <w:numId w:val="10"/>
        </w:numPr>
        <w:spacing w:before="60" w:after="60" w:line="240" w:lineRule="auto"/>
        <w:contextualSpacing w:val="0"/>
      </w:pPr>
      <w:r w:rsidRPr="00BE7D04">
        <w:rPr>
          <w:rFonts w:eastAsia="Arial"/>
        </w:rPr>
        <w:t>Ability to work efficiently in a small-team environment with tight timeframes</w:t>
      </w:r>
    </w:p>
    <w:p w14:paraId="35424F21" w14:textId="4BE2850C" w:rsidR="00FF1850" w:rsidRDefault="00FF1850" w:rsidP="00E724E7">
      <w:pPr>
        <w:rPr>
          <w:rStyle w:val="Strong"/>
        </w:rPr>
      </w:pPr>
    </w:p>
    <w:p w14:paraId="4465C9D1" w14:textId="0FFC3D95" w:rsidR="00BE7D04" w:rsidRPr="00482351" w:rsidRDefault="00FF1850" w:rsidP="00BE7D04">
      <w:pPr>
        <w:pStyle w:val="Heading1"/>
      </w:pPr>
      <w:r w:rsidRPr="00482351">
        <w:t>Engagement Details</w:t>
      </w:r>
    </w:p>
    <w:tbl>
      <w:tblPr>
        <w:tblStyle w:val="GridTable1Light-Accent1"/>
        <w:tblW w:w="9360" w:type="dxa"/>
        <w:tblLook w:val="04A0" w:firstRow="1" w:lastRow="0" w:firstColumn="1" w:lastColumn="0" w:noHBand="0" w:noVBand="1"/>
      </w:tblPr>
      <w:tblGrid>
        <w:gridCol w:w="3500"/>
        <w:gridCol w:w="5860"/>
      </w:tblGrid>
      <w:tr w:rsidR="00BE7D04" w:rsidRPr="00BE7D04" w14:paraId="55B678A5" w14:textId="77777777" w:rsidTr="00BE7D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0" w:type="dxa"/>
          </w:tcPr>
          <w:p w14:paraId="6DEC6CE1" w14:textId="77777777" w:rsidR="00FF1850" w:rsidRPr="00BE7D04" w:rsidRDefault="00FF1850" w:rsidP="007C1EC5">
            <w:pPr>
              <w:rPr>
                <w:color w:val="000000" w:themeColor="text1"/>
              </w:rPr>
            </w:pPr>
            <w:r w:rsidRPr="00BE7D04">
              <w:rPr>
                <w:rFonts w:eastAsia="Arial"/>
                <w:color w:val="000000" w:themeColor="text1"/>
              </w:rPr>
              <w:t>Item</w:t>
            </w:r>
          </w:p>
        </w:tc>
        <w:tc>
          <w:tcPr>
            <w:tcW w:w="5860" w:type="dxa"/>
          </w:tcPr>
          <w:p w14:paraId="2219E016" w14:textId="77777777" w:rsidR="00FF1850" w:rsidRPr="00BE7D04" w:rsidRDefault="00FF1850" w:rsidP="007C1EC5">
            <w:pPr>
              <w:cnfStyle w:val="100000000000" w:firstRow="1" w:lastRow="0" w:firstColumn="0" w:lastColumn="0" w:oddVBand="0" w:evenVBand="0" w:oddHBand="0" w:evenHBand="0" w:firstRowFirstColumn="0" w:firstRowLastColumn="0" w:lastRowFirstColumn="0" w:lastRowLastColumn="0"/>
              <w:rPr>
                <w:color w:val="000000" w:themeColor="text1"/>
              </w:rPr>
            </w:pPr>
            <w:r w:rsidRPr="00BE7D04">
              <w:rPr>
                <w:rFonts w:eastAsia="Arial"/>
                <w:color w:val="000000" w:themeColor="text1"/>
              </w:rPr>
              <w:t>Detail</w:t>
            </w:r>
          </w:p>
        </w:tc>
      </w:tr>
      <w:tr w:rsidR="00FF1850" w:rsidRPr="00BE7D04" w14:paraId="21641D13" w14:textId="77777777" w:rsidTr="00BE7D04">
        <w:tc>
          <w:tcPr>
            <w:cnfStyle w:val="001000000000" w:firstRow="0" w:lastRow="0" w:firstColumn="1" w:lastColumn="0" w:oddVBand="0" w:evenVBand="0" w:oddHBand="0" w:evenHBand="0" w:firstRowFirstColumn="0" w:firstRowLastColumn="0" w:lastRowFirstColumn="0" w:lastRowLastColumn="0"/>
            <w:tcW w:w="3500" w:type="dxa"/>
          </w:tcPr>
          <w:p w14:paraId="543F24D0" w14:textId="77777777" w:rsidR="00FF1850" w:rsidRPr="00BE7D04" w:rsidRDefault="00FF1850" w:rsidP="007C1EC5">
            <w:r w:rsidRPr="00BE7D04">
              <w:rPr>
                <w:rFonts w:eastAsia="Arial"/>
              </w:rPr>
              <w:t>Engagement Type</w:t>
            </w:r>
          </w:p>
        </w:tc>
        <w:tc>
          <w:tcPr>
            <w:tcW w:w="5860" w:type="dxa"/>
          </w:tcPr>
          <w:p w14:paraId="1574155C" w14:textId="77777777" w:rsidR="00FF1850" w:rsidRPr="00BE7D04" w:rsidRDefault="00FF1850" w:rsidP="007C1EC5">
            <w:pPr>
              <w:cnfStyle w:val="000000000000" w:firstRow="0" w:lastRow="0" w:firstColumn="0" w:lastColumn="0" w:oddVBand="0" w:evenVBand="0" w:oddHBand="0" w:evenHBand="0" w:firstRowFirstColumn="0" w:firstRowLastColumn="0" w:lastRowFirstColumn="0" w:lastRowLastColumn="0"/>
            </w:pPr>
            <w:r w:rsidRPr="00BE7D04">
              <w:rPr>
                <w:rFonts w:eastAsia="Arial"/>
              </w:rPr>
              <w:t>Consultancy Contract (external)</w:t>
            </w:r>
          </w:p>
        </w:tc>
      </w:tr>
      <w:tr w:rsidR="00FF1850" w:rsidRPr="00BE7D04" w14:paraId="7CC80EDC" w14:textId="77777777" w:rsidTr="00BE7D04">
        <w:tc>
          <w:tcPr>
            <w:cnfStyle w:val="001000000000" w:firstRow="0" w:lastRow="0" w:firstColumn="1" w:lastColumn="0" w:oddVBand="0" w:evenVBand="0" w:oddHBand="0" w:evenHBand="0" w:firstRowFirstColumn="0" w:firstRowLastColumn="0" w:lastRowFirstColumn="0" w:lastRowLastColumn="0"/>
            <w:tcW w:w="3500" w:type="dxa"/>
          </w:tcPr>
          <w:p w14:paraId="18BC33A7" w14:textId="77777777" w:rsidR="00FF1850" w:rsidRPr="00BE7D04" w:rsidRDefault="00FF1850" w:rsidP="007C1EC5">
            <w:r w:rsidRPr="00BE7D04">
              <w:rPr>
                <w:rFonts w:eastAsia="Arial"/>
              </w:rPr>
              <w:t>Duration</w:t>
            </w:r>
          </w:p>
        </w:tc>
        <w:tc>
          <w:tcPr>
            <w:tcW w:w="5860" w:type="dxa"/>
          </w:tcPr>
          <w:p w14:paraId="071647AB" w14:textId="77777777" w:rsidR="00FF1850" w:rsidRPr="00BE7D04" w:rsidRDefault="00FF1850" w:rsidP="007C1EC5">
            <w:pPr>
              <w:cnfStyle w:val="000000000000" w:firstRow="0" w:lastRow="0" w:firstColumn="0" w:lastColumn="0" w:oddVBand="0" w:evenVBand="0" w:oddHBand="0" w:evenHBand="0" w:firstRowFirstColumn="0" w:firstRowLastColumn="0" w:lastRowFirstColumn="0" w:lastRowLastColumn="0"/>
            </w:pPr>
            <w:r w:rsidRPr="00BE7D04">
              <w:rPr>
                <w:rFonts w:eastAsia="Arial"/>
              </w:rPr>
              <w:t>Approximately 3 months</w:t>
            </w:r>
          </w:p>
        </w:tc>
      </w:tr>
      <w:tr w:rsidR="00FF1850" w:rsidRPr="00BE7D04" w14:paraId="4D7E9202" w14:textId="77777777" w:rsidTr="00BE7D04">
        <w:tc>
          <w:tcPr>
            <w:cnfStyle w:val="001000000000" w:firstRow="0" w:lastRow="0" w:firstColumn="1" w:lastColumn="0" w:oddVBand="0" w:evenVBand="0" w:oddHBand="0" w:evenHBand="0" w:firstRowFirstColumn="0" w:firstRowLastColumn="0" w:lastRowFirstColumn="0" w:lastRowLastColumn="0"/>
            <w:tcW w:w="3500" w:type="dxa"/>
          </w:tcPr>
          <w:p w14:paraId="21EF006A" w14:textId="77777777" w:rsidR="00FF1850" w:rsidRPr="00BE7D04" w:rsidRDefault="00FF1850" w:rsidP="007C1EC5">
            <w:r w:rsidRPr="00BE7D04">
              <w:rPr>
                <w:rFonts w:eastAsia="Arial"/>
              </w:rPr>
              <w:t>Location</w:t>
            </w:r>
          </w:p>
        </w:tc>
        <w:tc>
          <w:tcPr>
            <w:tcW w:w="5860" w:type="dxa"/>
          </w:tcPr>
          <w:p w14:paraId="68EFAAF6" w14:textId="77777777" w:rsidR="00FF1850" w:rsidRPr="00BE7D04" w:rsidRDefault="00FF1850" w:rsidP="007C1EC5">
            <w:pPr>
              <w:cnfStyle w:val="000000000000" w:firstRow="0" w:lastRow="0" w:firstColumn="0" w:lastColumn="0" w:oddVBand="0" w:evenVBand="0" w:oddHBand="0" w:evenHBand="0" w:firstRowFirstColumn="0" w:firstRowLastColumn="0" w:lastRowFirstColumn="0" w:lastRowLastColumn="0"/>
            </w:pPr>
            <w:r w:rsidRPr="00BE7D04">
              <w:rPr>
                <w:rFonts w:eastAsia="Arial"/>
              </w:rPr>
              <w:t>Rarotonga, Cook Islands (on-site presence required)</w:t>
            </w:r>
          </w:p>
        </w:tc>
      </w:tr>
      <w:tr w:rsidR="00FF1850" w:rsidRPr="00BE7D04" w14:paraId="4EB1B4C0" w14:textId="77777777" w:rsidTr="00BE7D04">
        <w:tc>
          <w:tcPr>
            <w:cnfStyle w:val="001000000000" w:firstRow="0" w:lastRow="0" w:firstColumn="1" w:lastColumn="0" w:oddVBand="0" w:evenVBand="0" w:oddHBand="0" w:evenHBand="0" w:firstRowFirstColumn="0" w:firstRowLastColumn="0" w:lastRowFirstColumn="0" w:lastRowLastColumn="0"/>
            <w:tcW w:w="3500" w:type="dxa"/>
          </w:tcPr>
          <w:p w14:paraId="0BB42D1F" w14:textId="77777777" w:rsidR="00FF1850" w:rsidRPr="00BE7D04" w:rsidRDefault="00FF1850" w:rsidP="007C1EC5">
            <w:r w:rsidRPr="00BE7D04">
              <w:rPr>
                <w:rFonts w:eastAsia="Arial"/>
              </w:rPr>
              <w:t>Reports To</w:t>
            </w:r>
          </w:p>
        </w:tc>
        <w:tc>
          <w:tcPr>
            <w:tcW w:w="5860" w:type="dxa"/>
          </w:tcPr>
          <w:p w14:paraId="1A33C24D" w14:textId="77777777" w:rsidR="00FF1850" w:rsidRPr="00BE7D04" w:rsidRDefault="00FF1850" w:rsidP="007C1EC5">
            <w:pPr>
              <w:cnfStyle w:val="000000000000" w:firstRow="0" w:lastRow="0" w:firstColumn="0" w:lastColumn="0" w:oddVBand="0" w:evenVBand="0" w:oddHBand="0" w:evenHBand="0" w:firstRowFirstColumn="0" w:firstRowLastColumn="0" w:lastRowFirstColumn="0" w:lastRowLastColumn="0"/>
            </w:pPr>
            <w:r w:rsidRPr="00BE7D04">
              <w:rPr>
                <w:rFonts w:eastAsia="Arial"/>
              </w:rPr>
              <w:t>General Manager, Asset Management, CIIC</w:t>
            </w:r>
          </w:p>
        </w:tc>
      </w:tr>
      <w:tr w:rsidR="00FF1850" w:rsidRPr="00BE7D04" w14:paraId="5805618C" w14:textId="77777777" w:rsidTr="00BE7D04">
        <w:tc>
          <w:tcPr>
            <w:cnfStyle w:val="001000000000" w:firstRow="0" w:lastRow="0" w:firstColumn="1" w:lastColumn="0" w:oddVBand="0" w:evenVBand="0" w:oddHBand="0" w:evenHBand="0" w:firstRowFirstColumn="0" w:firstRowLastColumn="0" w:lastRowFirstColumn="0" w:lastRowLastColumn="0"/>
            <w:tcW w:w="3500" w:type="dxa"/>
          </w:tcPr>
          <w:p w14:paraId="12700D1C" w14:textId="77777777" w:rsidR="00FF1850" w:rsidRPr="00BE7D04" w:rsidRDefault="00FF1850" w:rsidP="007C1EC5">
            <w:r w:rsidRPr="00BE7D04">
              <w:rPr>
                <w:rFonts w:eastAsia="Arial"/>
              </w:rPr>
              <w:t>Works With</w:t>
            </w:r>
          </w:p>
        </w:tc>
        <w:tc>
          <w:tcPr>
            <w:tcW w:w="5860" w:type="dxa"/>
          </w:tcPr>
          <w:p w14:paraId="6FB3991A" w14:textId="77777777" w:rsidR="00FF1850" w:rsidRPr="00BE7D04" w:rsidRDefault="00FF1850" w:rsidP="007C1EC5">
            <w:pPr>
              <w:cnfStyle w:val="000000000000" w:firstRow="0" w:lastRow="0" w:firstColumn="0" w:lastColumn="0" w:oddVBand="0" w:evenVBand="0" w:oddHBand="0" w:evenHBand="0" w:firstRowFirstColumn="0" w:firstRowLastColumn="0" w:lastRowFirstColumn="0" w:lastRowLastColumn="0"/>
            </w:pPr>
            <w:r w:rsidRPr="00BE7D04">
              <w:rPr>
                <w:rFonts w:eastAsia="Arial"/>
              </w:rPr>
              <w:t>CIIC Asset Management; Programme Coordinator (when appointed)</w:t>
            </w:r>
          </w:p>
        </w:tc>
      </w:tr>
      <w:tr w:rsidR="00FF1850" w:rsidRPr="00BE7D04" w14:paraId="640F5CEA" w14:textId="77777777" w:rsidTr="00BE7D04">
        <w:tc>
          <w:tcPr>
            <w:cnfStyle w:val="001000000000" w:firstRow="0" w:lastRow="0" w:firstColumn="1" w:lastColumn="0" w:oddVBand="0" w:evenVBand="0" w:oddHBand="0" w:evenHBand="0" w:firstRowFirstColumn="0" w:firstRowLastColumn="0" w:lastRowFirstColumn="0" w:lastRowLastColumn="0"/>
            <w:tcW w:w="3500" w:type="dxa"/>
          </w:tcPr>
          <w:p w14:paraId="617C0F4D" w14:textId="77777777" w:rsidR="00FF1850" w:rsidRPr="00BE7D04" w:rsidRDefault="00FF1850" w:rsidP="007C1EC5">
            <w:r w:rsidRPr="00BE7D04">
              <w:rPr>
                <w:rFonts w:eastAsia="Arial"/>
              </w:rPr>
              <w:t>Pricing Basis</w:t>
            </w:r>
          </w:p>
        </w:tc>
        <w:tc>
          <w:tcPr>
            <w:tcW w:w="5860" w:type="dxa"/>
          </w:tcPr>
          <w:p w14:paraId="6F63D5D6" w14:textId="7CB9BB3E" w:rsidR="00FF1850" w:rsidRPr="00BE7D04" w:rsidRDefault="00FF1850" w:rsidP="007C1EC5">
            <w:pPr>
              <w:cnfStyle w:val="000000000000" w:firstRow="0" w:lastRow="0" w:firstColumn="0" w:lastColumn="0" w:oddVBand="0" w:evenVBand="0" w:oddHBand="0" w:evenHBand="0" w:firstRowFirstColumn="0" w:firstRowLastColumn="0" w:lastRowFirstColumn="0" w:lastRowLastColumn="0"/>
            </w:pPr>
            <w:r w:rsidRPr="00BE7D04">
              <w:rPr>
                <w:rFonts w:eastAsia="Arial"/>
              </w:rPr>
              <w:t>Lump sum per deliverable</w:t>
            </w:r>
            <w:r w:rsidR="00404F83">
              <w:rPr>
                <w:rFonts w:eastAsia="Arial"/>
              </w:rPr>
              <w:t>, or agreed daily rate with capped days</w:t>
            </w:r>
          </w:p>
        </w:tc>
      </w:tr>
    </w:tbl>
    <w:p w14:paraId="73BD1E70" w14:textId="320466E7" w:rsidR="0013063E" w:rsidRPr="009F3742" w:rsidRDefault="0013063E" w:rsidP="00FF1850"/>
    <w:p w14:paraId="3945B45C" w14:textId="2852F94D" w:rsidR="0013063E" w:rsidRPr="00482351" w:rsidRDefault="00BE7D04" w:rsidP="00BE7D04">
      <w:pPr>
        <w:pStyle w:val="Heading1"/>
      </w:pPr>
      <w:r w:rsidRPr="00482351">
        <w:t>General Conditions</w:t>
      </w:r>
    </w:p>
    <w:p w14:paraId="5F2D03A1" w14:textId="77777777" w:rsidR="00BE7D04" w:rsidRPr="00BE7D04" w:rsidRDefault="00BE7D04" w:rsidP="00BE7D04">
      <w:pPr>
        <w:spacing w:before="80" w:after="80"/>
      </w:pPr>
      <w:r w:rsidRPr="00BE7D04">
        <w:rPr>
          <w:rFonts w:eastAsia="Arial"/>
        </w:rPr>
        <w:t>The TA shall:</w:t>
      </w:r>
    </w:p>
    <w:p w14:paraId="5CF12E79" w14:textId="77777777" w:rsidR="00BE7D04" w:rsidRPr="00BE7D04" w:rsidRDefault="00BE7D04" w:rsidP="00FB4F7B">
      <w:pPr>
        <w:pStyle w:val="ListParagraph"/>
        <w:numPr>
          <w:ilvl w:val="0"/>
          <w:numId w:val="10"/>
        </w:numPr>
        <w:spacing w:before="60" w:after="60" w:line="240" w:lineRule="auto"/>
        <w:contextualSpacing w:val="0"/>
      </w:pPr>
      <w:r w:rsidRPr="00BE7D04">
        <w:rPr>
          <w:rFonts w:eastAsia="Arial"/>
        </w:rPr>
        <w:t>Comply with all Cook Islands laws and the Cook Islands Government Public Sector Code of Conduct</w:t>
      </w:r>
    </w:p>
    <w:p w14:paraId="2B90C2E2" w14:textId="77777777" w:rsidR="00BE7D04" w:rsidRPr="00BE7D04" w:rsidRDefault="00BE7D04" w:rsidP="00FB4F7B">
      <w:pPr>
        <w:pStyle w:val="ListParagraph"/>
        <w:numPr>
          <w:ilvl w:val="0"/>
          <w:numId w:val="10"/>
        </w:numPr>
        <w:spacing w:before="60" w:after="60" w:line="240" w:lineRule="auto"/>
        <w:contextualSpacing w:val="0"/>
      </w:pPr>
      <w:r w:rsidRPr="00BE7D04">
        <w:rPr>
          <w:rFonts w:eastAsia="Arial"/>
        </w:rPr>
        <w:t>Operate in accordance with MFEM's Environment and Social Safeguards Policy</w:t>
      </w:r>
    </w:p>
    <w:p w14:paraId="6B91134B" w14:textId="77777777" w:rsidR="00BE7D04" w:rsidRPr="00BE7D04" w:rsidRDefault="00BE7D04" w:rsidP="00FB4F7B">
      <w:pPr>
        <w:pStyle w:val="ListParagraph"/>
        <w:numPr>
          <w:ilvl w:val="0"/>
          <w:numId w:val="10"/>
        </w:numPr>
        <w:spacing w:before="60" w:after="60" w:line="240" w:lineRule="auto"/>
        <w:contextualSpacing w:val="0"/>
      </w:pPr>
      <w:r w:rsidRPr="00BE7D04">
        <w:rPr>
          <w:rFonts w:eastAsia="Arial"/>
        </w:rPr>
        <w:t>Maintain confidentiality of all CIIC and Government information</w:t>
      </w:r>
    </w:p>
    <w:p w14:paraId="379E111E" w14:textId="77777777" w:rsidR="00BE7D04" w:rsidRPr="00BE7D04" w:rsidRDefault="00BE7D04" w:rsidP="00FB4F7B">
      <w:pPr>
        <w:pStyle w:val="ListParagraph"/>
        <w:numPr>
          <w:ilvl w:val="0"/>
          <w:numId w:val="10"/>
        </w:numPr>
        <w:spacing w:before="60" w:after="60" w:line="240" w:lineRule="auto"/>
        <w:contextualSpacing w:val="0"/>
      </w:pPr>
      <w:r w:rsidRPr="00BE7D04">
        <w:rPr>
          <w:rFonts w:eastAsia="Arial"/>
        </w:rPr>
        <w:t>Declare any conflicts of interest at the outset and immediately if any arise during the engagement</w:t>
      </w:r>
    </w:p>
    <w:p w14:paraId="460382E4" w14:textId="77777777" w:rsidR="00BE7D04" w:rsidRPr="00BE7D04" w:rsidRDefault="00BE7D04" w:rsidP="00FB4F7B">
      <w:pPr>
        <w:pStyle w:val="ListParagraph"/>
        <w:numPr>
          <w:ilvl w:val="0"/>
          <w:numId w:val="10"/>
        </w:numPr>
        <w:spacing w:before="60" w:after="60" w:line="240" w:lineRule="auto"/>
        <w:contextualSpacing w:val="0"/>
      </w:pPr>
      <w:r w:rsidRPr="00BE7D04">
        <w:rPr>
          <w:rFonts w:eastAsia="Arial"/>
        </w:rPr>
        <w:t>Carry out duties in a transparent, participatory, and culturally appropriate manner</w:t>
      </w:r>
    </w:p>
    <w:p w14:paraId="0878F2D2" w14:textId="4FD744CC" w:rsidR="007D3FA9" w:rsidRPr="00BE7D04" w:rsidRDefault="00BE7D04" w:rsidP="00FB4F7B">
      <w:pPr>
        <w:pStyle w:val="ListParagraph"/>
        <w:numPr>
          <w:ilvl w:val="0"/>
          <w:numId w:val="10"/>
        </w:numPr>
        <w:spacing w:before="60" w:after="60" w:line="240" w:lineRule="auto"/>
        <w:contextualSpacing w:val="0"/>
      </w:pPr>
      <w:r w:rsidRPr="00BE7D04">
        <w:rPr>
          <w:rFonts w:eastAsia="Arial"/>
        </w:rPr>
        <w:t>Not make public statements about the work without written approval from CIIC</w:t>
      </w:r>
    </w:p>
    <w:p w14:paraId="073B3C6E" w14:textId="77777777" w:rsidR="00777D3A" w:rsidRPr="00482351" w:rsidRDefault="00777D3A" w:rsidP="00D926EE">
      <w:pPr>
        <w:pStyle w:val="Heading1"/>
      </w:pPr>
      <w:r w:rsidRPr="00482351">
        <w:t>Reference materials provided by CIIC</w:t>
      </w:r>
    </w:p>
    <w:p w14:paraId="068A039C" w14:textId="77777777" w:rsidR="00777D3A" w:rsidRDefault="00777D3A" w:rsidP="00777D3A">
      <w:pPr>
        <w:spacing w:after="160" w:line="259" w:lineRule="auto"/>
        <w:rPr>
          <w:lang w:bidi="ar-DZ"/>
        </w:rPr>
      </w:pPr>
      <w:r>
        <w:rPr>
          <w:lang w:bidi="ar-DZ"/>
        </w:rPr>
        <w:t>The following is available for review or use by the confirmed Consultant for this work:</w:t>
      </w:r>
    </w:p>
    <w:p w14:paraId="77B91B42" w14:textId="77777777" w:rsidR="00777D3A" w:rsidRPr="00894C10" w:rsidRDefault="00894C10" w:rsidP="00FB4F7B">
      <w:pPr>
        <w:pStyle w:val="ListParagraph"/>
        <w:numPr>
          <w:ilvl w:val="0"/>
          <w:numId w:val="7"/>
        </w:numPr>
      </w:pPr>
      <w:r w:rsidRPr="00894C10">
        <w:t>Proposed sports codes and venues</w:t>
      </w:r>
    </w:p>
    <w:p w14:paraId="1357BDE6" w14:textId="77777777" w:rsidR="00777D3A" w:rsidRPr="00894C10" w:rsidRDefault="00894C10" w:rsidP="00FB4F7B">
      <w:pPr>
        <w:pStyle w:val="ListParagraph"/>
        <w:numPr>
          <w:ilvl w:val="0"/>
          <w:numId w:val="7"/>
        </w:numPr>
      </w:pPr>
      <w:r w:rsidRPr="00894C10">
        <w:t>Nikao Social Centre masterplan</w:t>
      </w:r>
    </w:p>
    <w:p w14:paraId="281CCB0A" w14:textId="77777777" w:rsidR="00777D3A" w:rsidRDefault="00894C10" w:rsidP="00FB4F7B">
      <w:pPr>
        <w:pStyle w:val="ListParagraph"/>
        <w:numPr>
          <w:ilvl w:val="0"/>
          <w:numId w:val="7"/>
        </w:numPr>
      </w:pPr>
      <w:r w:rsidRPr="00894C10">
        <w:lastRenderedPageBreak/>
        <w:t>2009 PMG venue assessment reports</w:t>
      </w:r>
    </w:p>
    <w:p w14:paraId="73A61818" w14:textId="235B52DA" w:rsidR="00894C10" w:rsidRDefault="00894C10" w:rsidP="00FB4F7B">
      <w:pPr>
        <w:pStyle w:val="ListParagraph"/>
        <w:numPr>
          <w:ilvl w:val="0"/>
          <w:numId w:val="7"/>
        </w:numPr>
      </w:pPr>
      <w:r>
        <w:t>Reports and proposals for upgrades to existing government-owned facilities</w:t>
      </w:r>
    </w:p>
    <w:p w14:paraId="0186315E" w14:textId="4CDAB523" w:rsidR="00404F83" w:rsidRDefault="00404F83" w:rsidP="00404F83"/>
    <w:p w14:paraId="7D63EDA2" w14:textId="7DA04B98" w:rsidR="00404F83" w:rsidRDefault="00404F83" w:rsidP="00404F83"/>
    <w:p w14:paraId="09810E38" w14:textId="370B2188" w:rsidR="00404F83" w:rsidRDefault="00404F83" w:rsidP="00404F83"/>
    <w:p w14:paraId="4112382C" w14:textId="7301BAAF" w:rsidR="00404F83" w:rsidRDefault="00404F83" w:rsidP="00404F83"/>
    <w:p w14:paraId="2463CF73" w14:textId="241A3CA1" w:rsidR="00404F83" w:rsidRDefault="00404F83" w:rsidP="00404F83"/>
    <w:p w14:paraId="1D94BBC4" w14:textId="6DF4086C" w:rsidR="00404F83" w:rsidRDefault="00404F83" w:rsidP="00404F83"/>
    <w:p w14:paraId="45F3F63E" w14:textId="3B3A8EA7" w:rsidR="00404F83" w:rsidRDefault="00404F83" w:rsidP="00404F83"/>
    <w:p w14:paraId="507F663F" w14:textId="428266F6" w:rsidR="00404F83" w:rsidRDefault="00404F83" w:rsidP="00404F83"/>
    <w:p w14:paraId="1FB4D0AC" w14:textId="76B62023" w:rsidR="00404F83" w:rsidRDefault="00404F83" w:rsidP="00404F83"/>
    <w:p w14:paraId="43FBCDC2" w14:textId="2E116CCF" w:rsidR="00404F83" w:rsidRDefault="00404F83" w:rsidP="00404F83"/>
    <w:p w14:paraId="6D88192A" w14:textId="193A438A" w:rsidR="00404F83" w:rsidRDefault="00404F83" w:rsidP="00404F83"/>
    <w:p w14:paraId="6B3DD288" w14:textId="3DC29D99" w:rsidR="00404F83" w:rsidRDefault="00404F83" w:rsidP="00404F83"/>
    <w:p w14:paraId="6E24C986" w14:textId="14541CCF" w:rsidR="00404F83" w:rsidRDefault="00404F83" w:rsidP="00404F83"/>
    <w:p w14:paraId="79E1DFE0" w14:textId="69569ACB" w:rsidR="00404F83" w:rsidRDefault="00404F83" w:rsidP="00404F83"/>
    <w:p w14:paraId="3A7D58DB" w14:textId="75C68DBE" w:rsidR="00404F83" w:rsidRDefault="00404F83" w:rsidP="00404F83"/>
    <w:p w14:paraId="5D38971A" w14:textId="5F099BA2" w:rsidR="00404F83" w:rsidRDefault="00404F83" w:rsidP="00404F83"/>
    <w:p w14:paraId="0EA471DE" w14:textId="55B10739" w:rsidR="00404F83" w:rsidRDefault="00404F83" w:rsidP="00404F83"/>
    <w:p w14:paraId="036EEAAE" w14:textId="512DC7F0" w:rsidR="00404F83" w:rsidRDefault="00404F83" w:rsidP="00404F83"/>
    <w:p w14:paraId="645C1AE7" w14:textId="3C80EC28" w:rsidR="00404F83" w:rsidRDefault="00404F83" w:rsidP="00404F83"/>
    <w:p w14:paraId="38F08503" w14:textId="7E2B8CB1" w:rsidR="00404F83" w:rsidRDefault="00404F83" w:rsidP="00404F83"/>
    <w:p w14:paraId="67C162E0" w14:textId="00FB1FE5" w:rsidR="00404F83" w:rsidRDefault="00404F83" w:rsidP="00404F83"/>
    <w:p w14:paraId="3D03329D" w14:textId="3EB98123" w:rsidR="00404F83" w:rsidRDefault="00404F83" w:rsidP="00404F83"/>
    <w:p w14:paraId="6D9BE152" w14:textId="101FFD2E" w:rsidR="00404F83" w:rsidRDefault="00404F83" w:rsidP="00404F83"/>
    <w:p w14:paraId="364080E3" w14:textId="639D60A0" w:rsidR="00404F83" w:rsidRDefault="00404F83" w:rsidP="00404F83"/>
    <w:p w14:paraId="2790C400" w14:textId="77777777" w:rsidR="00404F83" w:rsidRDefault="00404F83" w:rsidP="00404F83"/>
    <w:p w14:paraId="6D4BAB14" w14:textId="77777777" w:rsidR="00777D3A" w:rsidRPr="009B53CC" w:rsidRDefault="00777D3A" w:rsidP="00777D3A">
      <w:pPr>
        <w:pStyle w:val="Title"/>
      </w:pPr>
      <w:r w:rsidRPr="009B53CC">
        <w:lastRenderedPageBreak/>
        <w:t>Pricing Template</w:t>
      </w:r>
    </w:p>
    <w:p w14:paraId="0AEF1EEC" w14:textId="77777777" w:rsidR="00777D3A" w:rsidRPr="008B3714" w:rsidRDefault="00777D3A" w:rsidP="00777D3A">
      <w:pPr>
        <w:spacing w:line="336" w:lineRule="auto"/>
        <w:rPr>
          <w:b/>
          <w:bCs/>
          <w:color w:val="193D64"/>
          <w:sz w:val="12"/>
          <w:szCs w:val="12"/>
        </w:rPr>
      </w:pPr>
      <w:r>
        <w:rPr>
          <w:noProof/>
          <w:lang w:val="en-AU" w:eastAsia="en-AU"/>
        </w:rPr>
        <mc:AlternateContent>
          <mc:Choice Requires="wpg">
            <w:drawing>
              <wp:anchor distT="0" distB="0" distL="114300" distR="114300" simplePos="0" relativeHeight="251659264" behindDoc="0" locked="0" layoutInCell="1" allowOverlap="1" wp14:anchorId="15A4EA98" wp14:editId="72C897AA">
                <wp:simplePos x="0" y="0"/>
                <wp:positionH relativeFrom="margin">
                  <wp:align>left</wp:align>
                </wp:positionH>
                <wp:positionV relativeFrom="paragraph">
                  <wp:posOffset>135255</wp:posOffset>
                </wp:positionV>
                <wp:extent cx="5736590" cy="1686560"/>
                <wp:effectExtent l="0" t="0" r="16510" b="27940"/>
                <wp:wrapTight wrapText="bothSides">
                  <wp:wrapPolygon edited="0">
                    <wp:start x="0" y="0"/>
                    <wp:lineTo x="0" y="21714"/>
                    <wp:lineTo x="21590" y="21714"/>
                    <wp:lineTo x="21590" y="0"/>
                    <wp:lineTo x="0" y="0"/>
                  </wp:wrapPolygon>
                </wp:wrapTight>
                <wp:docPr id="22" name="Group 301" descr="More information for suppliers" title="Supplier tip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6590" cy="1686701"/>
                          <a:chOff x="1020" y="8380"/>
                          <a:chExt cx="9034" cy="2742"/>
                        </a:xfrm>
                      </wpg:grpSpPr>
                      <wps:wsp>
                        <wps:cNvPr id="23" name="Text Box 161" descr="border around supplier tips" title="border"/>
                        <wps:cNvSpPr txBox="1">
                          <a:spLocks noChangeArrowheads="1"/>
                        </wps:cNvSpPr>
                        <wps:spPr bwMode="auto">
                          <a:xfrm>
                            <a:off x="1020" y="8380"/>
                            <a:ext cx="9034" cy="2742"/>
                          </a:xfrm>
                          <a:prstGeom prst="rect">
                            <a:avLst/>
                          </a:prstGeom>
                          <a:ln>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style>
                          <a:lnRef idx="2">
                            <a:schemeClr val="accent6"/>
                          </a:lnRef>
                          <a:fillRef idx="1">
                            <a:schemeClr val="lt1"/>
                          </a:fillRef>
                          <a:effectRef idx="0">
                            <a:schemeClr val="accent6"/>
                          </a:effectRef>
                          <a:fontRef idx="minor">
                            <a:schemeClr val="dk1"/>
                          </a:fontRef>
                        </wps:style>
                        <wps:txbx>
                          <w:txbxContent>
                            <w:p w14:paraId="58C0256E" w14:textId="77777777" w:rsidR="0013063E" w:rsidRPr="002F6B6C" w:rsidRDefault="0013063E" w:rsidP="00777D3A">
                              <w:pPr>
                                <w:spacing w:before="144"/>
                                <w:ind w:left="552"/>
                                <w:rPr>
                                  <w:b/>
                                  <w:color w:val="4D4D4F"/>
                                  <w:sz w:val="24"/>
                                  <w:szCs w:val="24"/>
                                </w:rPr>
                              </w:pPr>
                              <w:r>
                                <w:rPr>
                                  <w:b/>
                                  <w:color w:val="4D4D4F"/>
                                  <w:sz w:val="24"/>
                                  <w:szCs w:val="24"/>
                                </w:rPr>
                                <w:t>RESPONDENT</w:t>
                              </w:r>
                              <w:r w:rsidRPr="002F6B6C">
                                <w:rPr>
                                  <w:b/>
                                  <w:color w:val="4D4D4F"/>
                                  <w:sz w:val="24"/>
                                  <w:szCs w:val="24"/>
                                </w:rPr>
                                <w:t xml:space="preserve"> TIPS:</w:t>
                              </w:r>
                              <w:r>
                                <w:rPr>
                                  <w:b/>
                                  <w:color w:val="4D4D4F"/>
                                  <w:sz w:val="24"/>
                                  <w:szCs w:val="24"/>
                                </w:rPr>
                                <w:t xml:space="preserve"> </w:t>
                              </w:r>
                            </w:p>
                            <w:p w14:paraId="5E68CB25" w14:textId="77777777" w:rsidR="0013063E" w:rsidRDefault="0013063E" w:rsidP="00777D3A">
                              <w:pPr>
                                <w:spacing w:before="113" w:line="235" w:lineRule="auto"/>
                                <w:ind w:left="426" w:right="145" w:hanging="284"/>
                                <w:rPr>
                                  <w:bCs/>
                                  <w:color w:val="4D4D4F"/>
                                </w:rPr>
                              </w:pPr>
                              <w:r w:rsidRPr="007F58D0">
                                <w:rPr>
                                  <w:bCs/>
                                  <w:color w:val="4D4D4F"/>
                                </w:rPr>
                                <w:t>•</w:t>
                              </w:r>
                              <w:r w:rsidRPr="007F58D0">
                                <w:rPr>
                                  <w:bCs/>
                                  <w:color w:val="4D4D4F"/>
                                </w:rPr>
                                <w:tab/>
                              </w:r>
                              <w:r>
                                <w:rPr>
                                  <w:bCs/>
                                  <w:color w:val="4D4D4F"/>
                                </w:rPr>
                                <w:t>S</w:t>
                              </w:r>
                              <w:r w:rsidRPr="00980307">
                                <w:rPr>
                                  <w:bCs/>
                                  <w:color w:val="4D4D4F"/>
                                </w:rPr>
                                <w:t>ubmit your financial information and pricing using the following pricing schedule. Provide as detailed a breakdown of the services as possible, and describe any assumptions where relevant (i.e. the number of people being applied to a job and why, or if that changes over time). Where possible, please provide information regarding sub-contractor input as well as your input. Please note, you can use as many rows as required.</w:t>
                              </w:r>
                            </w:p>
                            <w:p w14:paraId="754630A4" w14:textId="77777777" w:rsidR="0013063E" w:rsidRPr="00980307" w:rsidRDefault="0013063E" w:rsidP="00777D3A">
                              <w:pPr>
                                <w:spacing w:before="113" w:line="235" w:lineRule="auto"/>
                                <w:ind w:left="426" w:right="145" w:hanging="284"/>
                                <w:rPr>
                                  <w:bCs/>
                                  <w:color w:val="4D4D4F"/>
                                </w:rPr>
                              </w:pPr>
                              <w:r w:rsidRPr="007F58D0">
                                <w:rPr>
                                  <w:bCs/>
                                  <w:color w:val="4D4D4F"/>
                                </w:rPr>
                                <w:t>•</w:t>
                              </w:r>
                              <w:r w:rsidRPr="007F58D0">
                                <w:rPr>
                                  <w:bCs/>
                                  <w:color w:val="4D4D4F"/>
                                </w:rPr>
                                <w:tab/>
                              </w:r>
                              <w:r>
                                <w:rPr>
                                  <w:bCs/>
                                  <w:color w:val="4D4D4F"/>
                                </w:rPr>
                                <w:t>CIIC only pays advances for Expenses on a reimbursement basis, not on Fees.</w:t>
                              </w:r>
                              <w:r>
                                <w:t xml:space="preserve"> </w:t>
                              </w:r>
                            </w:p>
                            <w:p w14:paraId="20C4FA7E" w14:textId="77777777" w:rsidR="0013063E" w:rsidRPr="00980307" w:rsidRDefault="0013063E" w:rsidP="00777D3A">
                              <w:pPr>
                                <w:spacing w:before="113" w:line="235" w:lineRule="auto"/>
                                <w:ind w:left="426" w:right="145" w:hanging="284"/>
                                <w:rPr>
                                  <w:bCs/>
                                  <w:color w:val="4D4D4F"/>
                                </w:rPr>
                              </w:pPr>
                              <w:r w:rsidRPr="007F58D0">
                                <w:rPr>
                                  <w:bCs/>
                                  <w:color w:val="4D4D4F"/>
                                </w:rPr>
                                <w:t>•</w:t>
                              </w:r>
                              <w:r w:rsidRPr="007F58D0">
                                <w:rPr>
                                  <w:bCs/>
                                  <w:color w:val="4D4D4F"/>
                                </w:rPr>
                                <w:tab/>
                              </w:r>
                              <w:r w:rsidRPr="00980307">
                                <w:rPr>
                                  <w:bCs/>
                                  <w:color w:val="4D4D4F"/>
                                </w:rPr>
                                <w:t>All amounts are to be in New Zealand dollars and to be exclusive of CI Value Added Tax.</w:t>
                              </w:r>
                              <w:r>
                                <w:t xml:space="preserve"> </w:t>
                              </w:r>
                            </w:p>
                            <w:p w14:paraId="3FCA7171" w14:textId="77777777" w:rsidR="0013063E" w:rsidRDefault="0013063E" w:rsidP="00777D3A">
                              <w:pPr>
                                <w:spacing w:before="113" w:line="235" w:lineRule="auto"/>
                                <w:ind w:right="145"/>
                                <w:rPr>
                                  <w:bCs/>
                                  <w:color w:val="4D4D4F"/>
                                </w:rPr>
                              </w:pPr>
                            </w:p>
                            <w:p w14:paraId="546EC255" w14:textId="77777777" w:rsidR="0013063E" w:rsidRPr="00980307" w:rsidRDefault="0013063E" w:rsidP="00777D3A">
                              <w:pPr>
                                <w:spacing w:before="113" w:line="235" w:lineRule="auto"/>
                                <w:ind w:left="426" w:right="145" w:hanging="284"/>
                                <w:rPr>
                                  <w:bCs/>
                                  <w:color w:val="4D4D4F"/>
                                </w:rPr>
                              </w:pPr>
                              <w:r w:rsidRPr="007F58D0">
                                <w:rPr>
                                  <w:bCs/>
                                  <w:color w:val="4D4D4F"/>
                                </w:rPr>
                                <w:t>•</w:t>
                              </w:r>
                              <w:r w:rsidRPr="007F58D0">
                                <w:rPr>
                                  <w:bCs/>
                                  <w:color w:val="4D4D4F"/>
                                </w:rPr>
                                <w:tab/>
                              </w:r>
                              <w:r w:rsidRPr="00980307">
                                <w:rPr>
                                  <w:bCs/>
                                  <w:color w:val="4D4D4F"/>
                                </w:rPr>
                                <w:t>All amounts are to be in New Zealand dollars and to be exclusive of CI Value Added Tax.</w:t>
                              </w:r>
                              <w:r>
                                <w:t xml:space="preserve"> </w:t>
                              </w:r>
                            </w:p>
                            <w:p w14:paraId="38221F41" w14:textId="77777777" w:rsidR="0013063E" w:rsidRPr="00980307" w:rsidRDefault="0013063E" w:rsidP="00777D3A">
                              <w:pPr>
                                <w:spacing w:before="113" w:line="235" w:lineRule="auto"/>
                                <w:ind w:right="145"/>
                                <w:rPr>
                                  <w:bCs/>
                                  <w:color w:val="4D4D4F"/>
                                </w:rPr>
                              </w:pPr>
                            </w:p>
                            <w:p w14:paraId="1015DB6E" w14:textId="77777777" w:rsidR="0013063E" w:rsidRDefault="0013063E" w:rsidP="00777D3A">
                              <w:pPr>
                                <w:spacing w:before="113" w:line="235" w:lineRule="auto"/>
                                <w:ind w:left="426" w:right="145" w:hanging="284"/>
                              </w:pPr>
                            </w:p>
                          </w:txbxContent>
                        </wps:txbx>
                        <wps:bodyPr rot="0" vert="horz" wrap="square" lIns="0" tIns="0" rIns="0" bIns="0" anchor="t" anchorCtr="0" upright="1">
                          <a:noAutofit/>
                        </wps:bodyPr>
                      </wps:wsp>
                      <pic:pic xmlns:pic14="http://schemas.microsoft.com/office/drawing/2010/picture" xmlns:pic="http://schemas.openxmlformats.org/drawingml/2006/picture" mc:Ignorable="pic14">
                        <pic:nvPicPr>
                          <pic:cNvPr id="24" name="Picture 1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153" y="8503"/>
                            <a:ext cx="346" cy="346"/>
                          </a:xfrm>
                          <a:prstGeom prst="rect">
                            <a:avLst/>
                          </a:prstGeom>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14:style>
                          <a:lnRef idx="2">
                            <a:schemeClr val="accent6"/>
                          </a:lnRef>
                          <a:fillRef idx="1">
                            <a:schemeClr val="lt1"/>
                          </a:fillRef>
                          <a:effectRef idx="0">
                            <a:schemeClr val="accent6"/>
                          </a:effectRef>
                          <a:fontRef idx="minor">
                            <a:schemeClr val="dk1"/>
                          </a:fontRef>
                        </pic14:style>
                      </pic:pic>
                    </wpg:wgp>
                  </a:graphicData>
                </a:graphic>
                <wp14:sizeRelH relativeFrom="page">
                  <wp14:pctWidth>0</wp14:pctWidth>
                </wp14:sizeRelH>
                <wp14:sizeRelV relativeFrom="page">
                  <wp14:pctHeight>0</wp14:pctHeight>
                </wp14:sizeRelV>
              </wp:anchor>
            </w:drawing>
          </mc:Choice>
          <mc:Fallback>
            <w:pict>
              <v:group w14:anchorId="15A4EA98" id="Group 301" o:spid="_x0000_s1026" alt="Title: Supplier tips - Description: More information for suppliers" style="position:absolute;margin-left:0;margin-top:10.65pt;width:451.7pt;height:132.8pt;z-index:251659264;mso-position-horizontal:left;mso-position-horizontal-relative:margin" coordorigin="1020,8380" coordsize="9034,27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">
                <v:shapetype id="_x0000_t202" coordsize="21600,21600" o:spt="202" path="m,l,21600r21600,l21600,xe">
                  <v:stroke joinstyle="miter"/>
                  <v:path gradientshapeok="t" o:connecttype="rect"/>
                </v:shapetype>
                <v:shape id="Text Box 161" o:spid="_x0000_s1027" type="#_x0000_t202" alt="border around supplier tips" style="position:absolute;left:1020;top:8380;width:9034;height:2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" fillcolor="white [3201]" strokecolor="#f79646 [3209]" strokeweight="2pt">
                  <v:textbox inset="0,0,0,0">
                    <w:txbxContent>
                      <w:p w14:paraId="58C0256E" w14:textId="77777777" w:rsidR="0013063E" w:rsidRPr="002F6B6C" w:rsidRDefault="0013063E" w:rsidP="00777D3A">
                        <w:pPr>
                          <w:spacing w:before="144"/>
                          <w:ind w:left="552"/>
                          <w:rPr>
                            <w:b/>
                            <w:color w:val="4D4D4F"/>
                            <w:sz w:val="24"/>
                            <w:szCs w:val="24"/>
                          </w:rPr>
                        </w:pPr>
                        <w:r>
                          <w:rPr>
                            <w:b/>
                            <w:color w:val="4D4D4F"/>
                            <w:sz w:val="24"/>
                            <w:szCs w:val="24"/>
                          </w:rPr>
                          <w:t>RESPONDENT</w:t>
                        </w:r>
                        <w:r w:rsidRPr="002F6B6C">
                          <w:rPr>
                            <w:b/>
                            <w:color w:val="4D4D4F"/>
                            <w:sz w:val="24"/>
                            <w:szCs w:val="24"/>
                          </w:rPr>
                          <w:t xml:space="preserve"> TIPS:</w:t>
                        </w:r>
                        <w:r>
                          <w:rPr>
                            <w:b/>
                            <w:color w:val="4D4D4F"/>
                            <w:sz w:val="24"/>
                            <w:szCs w:val="24"/>
                          </w:rPr>
                          <w:t xml:space="preserve"> </w:t>
                        </w:r>
                      </w:p>
                      <w:p w14:paraId="5E68CB25" w14:textId="77777777" w:rsidR="0013063E" w:rsidRDefault="0013063E" w:rsidP="00777D3A">
                        <w:pPr>
                          <w:spacing w:before="113" w:line="235" w:lineRule="auto"/>
                          <w:ind w:left="426" w:right="145" w:hanging="284"/>
                          <w:rPr>
                            <w:bCs/>
                            <w:color w:val="4D4D4F"/>
                          </w:rPr>
                        </w:pPr>
                        <w:r w:rsidRPr="007F58D0">
                          <w:rPr>
                            <w:bCs/>
                            <w:color w:val="4D4D4F"/>
                          </w:rPr>
                          <w:t>•</w:t>
                        </w:r>
                        <w:r w:rsidRPr="007F58D0">
                          <w:rPr>
                            <w:bCs/>
                            <w:color w:val="4D4D4F"/>
                          </w:rPr>
                          <w:tab/>
                        </w:r>
                        <w:r>
                          <w:rPr>
                            <w:bCs/>
                            <w:color w:val="4D4D4F"/>
                          </w:rPr>
                          <w:t>S</w:t>
                        </w:r>
                        <w:r w:rsidRPr="00980307">
                          <w:rPr>
                            <w:bCs/>
                            <w:color w:val="4D4D4F"/>
                          </w:rPr>
                          <w:t>ubmit your financial information and pricing using the following pricing schedule. Provide as detailed a breakdown of the services as possible, and describe any assumptions where relevant (</w:t>
                        </w:r>
                        <w:proofErr w:type="gramStart"/>
                        <w:r w:rsidRPr="00980307">
                          <w:rPr>
                            <w:bCs/>
                            <w:color w:val="4D4D4F"/>
                          </w:rPr>
                          <w:t>i.e.</w:t>
                        </w:r>
                        <w:proofErr w:type="gramEnd"/>
                        <w:r w:rsidRPr="00980307">
                          <w:rPr>
                            <w:bCs/>
                            <w:color w:val="4D4D4F"/>
                          </w:rPr>
                          <w:t xml:space="preserve"> the number of people being applied to a job and why, or if that changes over time). Where possible, please provide information regarding sub-contractor input as well as your input. Please note, you can use as many rows as required.</w:t>
                        </w:r>
                      </w:p>
                      <w:p w14:paraId="754630A4" w14:textId="77777777" w:rsidR="0013063E" w:rsidRPr="00980307" w:rsidRDefault="0013063E" w:rsidP="00777D3A">
                        <w:pPr>
                          <w:spacing w:before="113" w:line="235" w:lineRule="auto"/>
                          <w:ind w:left="426" w:right="145" w:hanging="284"/>
                          <w:rPr>
                            <w:bCs/>
                            <w:color w:val="4D4D4F"/>
                          </w:rPr>
                        </w:pPr>
                        <w:r w:rsidRPr="007F58D0">
                          <w:rPr>
                            <w:bCs/>
                            <w:color w:val="4D4D4F"/>
                          </w:rPr>
                          <w:t>•</w:t>
                        </w:r>
                        <w:r w:rsidRPr="007F58D0">
                          <w:rPr>
                            <w:bCs/>
                            <w:color w:val="4D4D4F"/>
                          </w:rPr>
                          <w:tab/>
                        </w:r>
                        <w:r>
                          <w:rPr>
                            <w:bCs/>
                            <w:color w:val="4D4D4F"/>
                          </w:rPr>
                          <w:t>CIIC only pays advances for Expenses on a reimbursement basis, not on Fees.</w:t>
                        </w:r>
                        <w:r>
                          <w:t xml:space="preserve"> </w:t>
                        </w:r>
                      </w:p>
                      <w:p w14:paraId="20C4FA7E" w14:textId="77777777" w:rsidR="0013063E" w:rsidRPr="00980307" w:rsidRDefault="0013063E" w:rsidP="00777D3A">
                        <w:pPr>
                          <w:spacing w:before="113" w:line="235" w:lineRule="auto"/>
                          <w:ind w:left="426" w:right="145" w:hanging="284"/>
                          <w:rPr>
                            <w:bCs/>
                            <w:color w:val="4D4D4F"/>
                          </w:rPr>
                        </w:pPr>
                        <w:r w:rsidRPr="007F58D0">
                          <w:rPr>
                            <w:bCs/>
                            <w:color w:val="4D4D4F"/>
                          </w:rPr>
                          <w:t>•</w:t>
                        </w:r>
                        <w:r w:rsidRPr="007F58D0">
                          <w:rPr>
                            <w:bCs/>
                            <w:color w:val="4D4D4F"/>
                          </w:rPr>
                          <w:tab/>
                        </w:r>
                        <w:r w:rsidRPr="00980307">
                          <w:rPr>
                            <w:bCs/>
                            <w:color w:val="4D4D4F"/>
                          </w:rPr>
                          <w:t>All amounts are to be in New Zealand dollars and to be exclusive of CI Value Added Tax.</w:t>
                        </w:r>
                        <w:r>
                          <w:t xml:space="preserve"> </w:t>
                        </w:r>
                      </w:p>
                      <w:p w14:paraId="3FCA7171" w14:textId="77777777" w:rsidR="0013063E" w:rsidRDefault="0013063E" w:rsidP="00777D3A">
                        <w:pPr>
                          <w:spacing w:before="113" w:line="235" w:lineRule="auto"/>
                          <w:ind w:right="145"/>
                          <w:rPr>
                            <w:bCs/>
                            <w:color w:val="4D4D4F"/>
                          </w:rPr>
                        </w:pPr>
                      </w:p>
                      <w:p w14:paraId="546EC255" w14:textId="77777777" w:rsidR="0013063E" w:rsidRPr="00980307" w:rsidRDefault="0013063E" w:rsidP="00777D3A">
                        <w:pPr>
                          <w:spacing w:before="113" w:line="235" w:lineRule="auto"/>
                          <w:ind w:left="426" w:right="145" w:hanging="284"/>
                          <w:rPr>
                            <w:bCs/>
                            <w:color w:val="4D4D4F"/>
                          </w:rPr>
                        </w:pPr>
                        <w:r w:rsidRPr="007F58D0">
                          <w:rPr>
                            <w:bCs/>
                            <w:color w:val="4D4D4F"/>
                          </w:rPr>
                          <w:t>•</w:t>
                        </w:r>
                        <w:r w:rsidRPr="007F58D0">
                          <w:rPr>
                            <w:bCs/>
                            <w:color w:val="4D4D4F"/>
                          </w:rPr>
                          <w:tab/>
                        </w:r>
                        <w:r w:rsidRPr="00980307">
                          <w:rPr>
                            <w:bCs/>
                            <w:color w:val="4D4D4F"/>
                          </w:rPr>
                          <w:t>All amounts are to be in New Zealand dollars and to be exclusive of CI Value Added Tax.</w:t>
                        </w:r>
                        <w:r>
                          <w:t xml:space="preserve"> </w:t>
                        </w:r>
                      </w:p>
                      <w:p w14:paraId="38221F41" w14:textId="77777777" w:rsidR="0013063E" w:rsidRPr="00980307" w:rsidRDefault="0013063E" w:rsidP="00777D3A">
                        <w:pPr>
                          <w:spacing w:before="113" w:line="235" w:lineRule="auto"/>
                          <w:ind w:right="145"/>
                          <w:rPr>
                            <w:bCs/>
                            <w:color w:val="4D4D4F"/>
                          </w:rPr>
                        </w:pPr>
                      </w:p>
                      <w:p w14:paraId="1015DB6E" w14:textId="77777777" w:rsidR="0013063E" w:rsidRDefault="0013063E" w:rsidP="00777D3A">
                        <w:pPr>
                          <w:spacing w:before="113" w:line="235" w:lineRule="auto"/>
                          <w:ind w:left="426" w:right="145" w:hanging="284"/>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0" o:spid="_x0000_s1028" type="#_x0000_t75" style="position:absolute;left:1153;top:8503;width:34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" filled="t" fillcolor="white [3201]" stroked="t" strokecolor="#f79646 [3209]" strokeweight="2pt">
                  <v:imagedata r:id="rId19" o:title=""/>
                </v:shape>
                <w10:wrap type="tight" anchorx="margin"/>
              </v:group>
            </w:pict>
          </mc:Fallback>
        </mc:AlternateContent>
      </w:r>
    </w:p>
    <w:p w14:paraId="1281F291" w14:textId="77777777" w:rsidR="00777D3A" w:rsidRPr="00567971" w:rsidRDefault="00777D3A" w:rsidP="00D926EE">
      <w:pPr>
        <w:pStyle w:val="Heading1"/>
      </w:pPr>
      <w:r w:rsidRPr="00567971">
        <w:t>Payments: Fees</w:t>
      </w:r>
    </w:p>
    <w:p w14:paraId="1E436C4F" w14:textId="77777777" w:rsidR="00777D3A" w:rsidRPr="00EC53A5" w:rsidRDefault="00777D3A" w:rsidP="00777D3A">
      <w:r>
        <w:t>Note: Used to develop payments against outputs/Deliverables</w:t>
      </w:r>
    </w:p>
    <w:tbl>
      <w:tblPr>
        <w:tblStyle w:val="GridTable1Light-Accent6"/>
        <w:tblW w:w="5000" w:type="pct"/>
        <w:tblLook w:val="01E0" w:firstRow="1" w:lastRow="1" w:firstColumn="1" w:lastColumn="1" w:noHBand="0" w:noVBand="0"/>
      </w:tblPr>
      <w:tblGrid>
        <w:gridCol w:w="663"/>
        <w:gridCol w:w="6571"/>
        <w:gridCol w:w="1782"/>
      </w:tblGrid>
      <w:tr w:rsidR="00777D3A" w:rsidRPr="00D926EE" w14:paraId="252945CD" w14:textId="77777777" w:rsidTr="00777D3A">
        <w:trPr>
          <w:cnfStyle w:val="100000000000" w:firstRow="1" w:lastRow="0" w:firstColumn="0" w:lastColumn="0" w:oddVBand="0" w:evenVBand="0" w:oddHBand="0"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368" w:type="pct"/>
          </w:tcPr>
          <w:p w14:paraId="1B9EDF0E" w14:textId="77777777" w:rsidR="00777D3A" w:rsidRPr="00D926EE" w:rsidRDefault="00777D3A" w:rsidP="0013063E">
            <w:pPr>
              <w:pStyle w:val="BodyText"/>
              <w:keepNext/>
              <w:spacing w:after="0"/>
              <w:rPr>
                <w:b w:val="0"/>
                <w:szCs w:val="20"/>
              </w:rPr>
            </w:pPr>
            <w:r w:rsidRPr="00D926EE">
              <w:rPr>
                <w:b w:val="0"/>
                <w:szCs w:val="20"/>
              </w:rPr>
              <w:t>No.</w:t>
            </w:r>
          </w:p>
        </w:tc>
        <w:tc>
          <w:tcPr>
            <w:tcW w:w="3644" w:type="pct"/>
          </w:tcPr>
          <w:p w14:paraId="38DFD316" w14:textId="77777777" w:rsidR="00777D3A" w:rsidRPr="00D926EE" w:rsidRDefault="00777D3A" w:rsidP="0013063E">
            <w:pPr>
              <w:pStyle w:val="BodyText"/>
              <w:keepNext/>
              <w:spacing w:after="0"/>
              <w:cnfStyle w:val="100000000000" w:firstRow="1" w:lastRow="0" w:firstColumn="0" w:lastColumn="0" w:oddVBand="0" w:evenVBand="0" w:oddHBand="0" w:evenHBand="0" w:firstRowFirstColumn="0" w:firstRowLastColumn="0" w:lastRowFirstColumn="0" w:lastRowLastColumn="0"/>
              <w:rPr>
                <w:b w:val="0"/>
                <w:szCs w:val="20"/>
              </w:rPr>
            </w:pPr>
            <w:r w:rsidRPr="00D926EE">
              <w:rPr>
                <w:b w:val="0"/>
                <w:szCs w:val="20"/>
              </w:rPr>
              <w:t>Output/Deliverables</w:t>
            </w:r>
          </w:p>
        </w:tc>
        <w:tc>
          <w:tcPr>
            <w:cnfStyle w:val="000100000000" w:firstRow="0" w:lastRow="0" w:firstColumn="0" w:lastColumn="1" w:oddVBand="0" w:evenVBand="0" w:oddHBand="0" w:evenHBand="0" w:firstRowFirstColumn="0" w:firstRowLastColumn="0" w:lastRowFirstColumn="0" w:lastRowLastColumn="0"/>
            <w:tcW w:w="988" w:type="pct"/>
          </w:tcPr>
          <w:p w14:paraId="7DB1B2E7" w14:textId="77777777" w:rsidR="00777D3A" w:rsidRPr="00D926EE" w:rsidRDefault="00777D3A" w:rsidP="0013063E">
            <w:pPr>
              <w:pStyle w:val="BodyText"/>
              <w:keepNext/>
              <w:spacing w:after="0"/>
              <w:rPr>
                <w:b w:val="0"/>
                <w:szCs w:val="20"/>
              </w:rPr>
            </w:pPr>
            <w:r w:rsidRPr="00D926EE">
              <w:rPr>
                <w:b w:val="0"/>
                <w:szCs w:val="20"/>
              </w:rPr>
              <w:t>Fixed Fees (NZ$)</w:t>
            </w:r>
          </w:p>
        </w:tc>
      </w:tr>
      <w:tr w:rsidR="00777D3A" w:rsidRPr="00D926EE" w14:paraId="40F29491" w14:textId="77777777" w:rsidTr="00777D3A">
        <w:tc>
          <w:tcPr>
            <w:cnfStyle w:val="001000000000" w:firstRow="0" w:lastRow="0" w:firstColumn="1" w:lastColumn="0" w:oddVBand="0" w:evenVBand="0" w:oddHBand="0" w:evenHBand="0" w:firstRowFirstColumn="0" w:firstRowLastColumn="0" w:lastRowFirstColumn="0" w:lastRowLastColumn="0"/>
            <w:tcW w:w="368" w:type="pct"/>
            <w:noWrap/>
          </w:tcPr>
          <w:p w14:paraId="3B6782F1" w14:textId="77777777" w:rsidR="00777D3A" w:rsidRPr="00D926EE" w:rsidRDefault="00777D3A" w:rsidP="0013063E">
            <w:pPr>
              <w:pStyle w:val="BodyText"/>
              <w:keepNext/>
              <w:spacing w:after="0"/>
              <w:jc w:val="center"/>
              <w:rPr>
                <w:szCs w:val="20"/>
              </w:rPr>
            </w:pPr>
            <w:r w:rsidRPr="00D926EE">
              <w:rPr>
                <w:szCs w:val="20"/>
              </w:rPr>
              <w:t>1</w:t>
            </w:r>
          </w:p>
        </w:tc>
        <w:bookmarkStart w:id="0" w:name="Text18"/>
        <w:tc>
          <w:tcPr>
            <w:tcW w:w="3644" w:type="pct"/>
          </w:tcPr>
          <w:p w14:paraId="0D173D9B" w14:textId="77777777" w:rsidR="00777D3A" w:rsidRPr="00D926EE" w:rsidRDefault="00777D3A" w:rsidP="0013063E">
            <w:pPr>
              <w:pStyle w:val="BodyText"/>
              <w:keepNext/>
              <w:spacing w:after="0"/>
              <w:cnfStyle w:val="000000000000" w:firstRow="0" w:lastRow="0" w:firstColumn="0" w:lastColumn="0" w:oddVBand="0" w:evenVBand="0" w:oddHBand="0" w:evenHBand="0" w:firstRowFirstColumn="0" w:firstRowLastColumn="0" w:lastRowFirstColumn="0" w:lastRowLastColumn="0"/>
              <w:rPr>
                <w:szCs w:val="20"/>
                <w:highlight w:val="lightGray"/>
                <w:lang w:eastAsia="en-NZ"/>
              </w:rPr>
            </w:pPr>
            <w:r w:rsidRPr="00D926EE">
              <w:rPr>
                <w:szCs w:val="20"/>
                <w:highlight w:val="lightGray"/>
                <w:lang w:eastAsia="en-NZ"/>
              </w:rPr>
              <w:fldChar w:fldCharType="begin">
                <w:ffData>
                  <w:name w:val="Text18"/>
                  <w:enabled/>
                  <w:calcOnExit w:val="0"/>
                  <w:textInput>
                    <w:default w:val="[e.g. Submit draft report]"/>
                  </w:textInput>
                </w:ffData>
              </w:fldChar>
            </w:r>
            <w:r w:rsidRPr="00D926EE">
              <w:rPr>
                <w:szCs w:val="20"/>
                <w:highlight w:val="lightGray"/>
                <w:lang w:eastAsia="en-NZ"/>
              </w:rPr>
              <w:instrText xml:space="preserve"> FORMTEXT </w:instrText>
            </w:r>
            <w:r w:rsidRPr="00D926EE">
              <w:rPr>
                <w:szCs w:val="20"/>
                <w:highlight w:val="lightGray"/>
                <w:lang w:eastAsia="en-NZ"/>
              </w:rPr>
            </w:r>
            <w:r w:rsidRPr="00D926EE">
              <w:rPr>
                <w:szCs w:val="20"/>
                <w:highlight w:val="lightGray"/>
                <w:lang w:eastAsia="en-NZ"/>
              </w:rPr>
              <w:fldChar w:fldCharType="separate"/>
            </w:r>
            <w:r w:rsidRPr="00D926EE">
              <w:rPr>
                <w:szCs w:val="20"/>
                <w:highlight w:val="lightGray"/>
                <w:lang w:eastAsia="en-NZ"/>
              </w:rPr>
              <w:t>[e.g. Submit draft report]</w:t>
            </w:r>
            <w:r w:rsidRPr="00D926EE">
              <w:rPr>
                <w:szCs w:val="20"/>
                <w:highlight w:val="lightGray"/>
                <w:lang w:eastAsia="en-NZ"/>
              </w:rPr>
              <w:fldChar w:fldCharType="end"/>
            </w:r>
            <w:bookmarkEnd w:id="0"/>
          </w:p>
        </w:tc>
        <w:tc>
          <w:tcPr>
            <w:cnfStyle w:val="000100000000" w:firstRow="0" w:lastRow="0" w:firstColumn="0" w:lastColumn="1" w:oddVBand="0" w:evenVBand="0" w:oddHBand="0" w:evenHBand="0" w:firstRowFirstColumn="0" w:firstRowLastColumn="0" w:lastRowFirstColumn="0" w:lastRowLastColumn="0"/>
            <w:tcW w:w="988" w:type="pct"/>
          </w:tcPr>
          <w:p w14:paraId="4FA325EB" w14:textId="77777777" w:rsidR="00777D3A" w:rsidRPr="00D926EE" w:rsidRDefault="00777D3A" w:rsidP="0013063E">
            <w:pPr>
              <w:pStyle w:val="BodyText"/>
              <w:keepNext/>
              <w:spacing w:after="0"/>
              <w:ind w:right="198"/>
              <w:jc w:val="right"/>
              <w:rPr>
                <w:szCs w:val="20"/>
                <w:highlight w:val="lightGray"/>
              </w:rPr>
            </w:pPr>
            <w:r w:rsidRPr="00D926EE">
              <w:rPr>
                <w:szCs w:val="20"/>
                <w:highlight w:val="lightGray"/>
              </w:rPr>
              <w:fldChar w:fldCharType="begin">
                <w:ffData>
                  <w:name w:val="Text18"/>
                  <w:enabled/>
                  <w:calcOnExit w:val="0"/>
                  <w:textInput/>
                </w:ffData>
              </w:fldChar>
            </w:r>
            <w:r w:rsidRPr="00D926EE">
              <w:rPr>
                <w:szCs w:val="20"/>
                <w:highlight w:val="lightGray"/>
              </w:rPr>
              <w:instrText xml:space="preserve"> FORMTEXT </w:instrText>
            </w:r>
            <w:r w:rsidRPr="00D926EE">
              <w:rPr>
                <w:szCs w:val="20"/>
                <w:highlight w:val="lightGray"/>
              </w:rPr>
            </w:r>
            <w:r w:rsidRPr="00D926EE">
              <w:rPr>
                <w:szCs w:val="20"/>
                <w:highlight w:val="lightGray"/>
              </w:rPr>
              <w:fldChar w:fldCharType="separate"/>
            </w:r>
            <w:r w:rsidRPr="00D926EE">
              <w:rPr>
                <w:noProof/>
                <w:szCs w:val="20"/>
                <w:highlight w:val="lightGray"/>
              </w:rPr>
              <w:t> </w:t>
            </w:r>
            <w:r w:rsidRPr="00D926EE">
              <w:rPr>
                <w:noProof/>
                <w:szCs w:val="20"/>
                <w:highlight w:val="lightGray"/>
              </w:rPr>
              <w:t> </w:t>
            </w:r>
            <w:r w:rsidRPr="00D926EE">
              <w:rPr>
                <w:noProof/>
                <w:szCs w:val="20"/>
                <w:highlight w:val="lightGray"/>
              </w:rPr>
              <w:t> </w:t>
            </w:r>
            <w:r w:rsidRPr="00D926EE">
              <w:rPr>
                <w:noProof/>
                <w:szCs w:val="20"/>
                <w:highlight w:val="lightGray"/>
              </w:rPr>
              <w:t> </w:t>
            </w:r>
            <w:r w:rsidRPr="00D926EE">
              <w:rPr>
                <w:noProof/>
                <w:szCs w:val="20"/>
                <w:highlight w:val="lightGray"/>
              </w:rPr>
              <w:t> </w:t>
            </w:r>
            <w:r w:rsidRPr="00D926EE">
              <w:rPr>
                <w:szCs w:val="20"/>
                <w:highlight w:val="lightGray"/>
              </w:rPr>
              <w:fldChar w:fldCharType="end"/>
            </w:r>
          </w:p>
        </w:tc>
      </w:tr>
      <w:tr w:rsidR="00777D3A" w:rsidRPr="00D926EE" w14:paraId="02627431" w14:textId="77777777" w:rsidTr="00777D3A">
        <w:tc>
          <w:tcPr>
            <w:cnfStyle w:val="001000000000" w:firstRow="0" w:lastRow="0" w:firstColumn="1" w:lastColumn="0" w:oddVBand="0" w:evenVBand="0" w:oddHBand="0" w:evenHBand="0" w:firstRowFirstColumn="0" w:firstRowLastColumn="0" w:lastRowFirstColumn="0" w:lastRowLastColumn="0"/>
            <w:tcW w:w="368" w:type="pct"/>
            <w:noWrap/>
          </w:tcPr>
          <w:p w14:paraId="353A639B" w14:textId="77777777" w:rsidR="00777D3A" w:rsidRPr="00D926EE" w:rsidRDefault="00777D3A" w:rsidP="0013063E">
            <w:pPr>
              <w:pStyle w:val="BodyText"/>
              <w:spacing w:after="0"/>
              <w:jc w:val="center"/>
              <w:rPr>
                <w:szCs w:val="20"/>
              </w:rPr>
            </w:pPr>
            <w:r w:rsidRPr="00D926EE">
              <w:rPr>
                <w:szCs w:val="20"/>
              </w:rPr>
              <w:t>2</w:t>
            </w:r>
          </w:p>
        </w:tc>
        <w:tc>
          <w:tcPr>
            <w:tcW w:w="3644" w:type="pct"/>
          </w:tcPr>
          <w:p w14:paraId="1C0BFE7D" w14:textId="77777777" w:rsidR="00777D3A" w:rsidRPr="00D926EE" w:rsidRDefault="00777D3A" w:rsidP="0013063E">
            <w:pPr>
              <w:pStyle w:val="BodyText"/>
              <w:spacing w:after="0"/>
              <w:cnfStyle w:val="000000000000" w:firstRow="0" w:lastRow="0" w:firstColumn="0" w:lastColumn="0" w:oddVBand="0" w:evenVBand="0" w:oddHBand="0" w:evenHBand="0" w:firstRowFirstColumn="0" w:firstRowLastColumn="0" w:lastRowFirstColumn="0" w:lastRowLastColumn="0"/>
              <w:rPr>
                <w:szCs w:val="20"/>
                <w:highlight w:val="lightGray"/>
                <w:lang w:eastAsia="en-NZ"/>
              </w:rPr>
            </w:pPr>
            <w:r w:rsidRPr="00D926EE">
              <w:rPr>
                <w:szCs w:val="20"/>
                <w:highlight w:val="lightGray"/>
                <w:lang w:eastAsia="en-NZ"/>
              </w:rPr>
              <w:fldChar w:fldCharType="begin">
                <w:ffData>
                  <w:name w:val=""/>
                  <w:enabled/>
                  <w:calcOnExit w:val="0"/>
                  <w:textInput>
                    <w:default w:val="[e.g. Deliver final report]"/>
                  </w:textInput>
                </w:ffData>
              </w:fldChar>
            </w:r>
            <w:r w:rsidRPr="00D926EE">
              <w:rPr>
                <w:szCs w:val="20"/>
                <w:highlight w:val="lightGray"/>
                <w:lang w:eastAsia="en-NZ"/>
              </w:rPr>
              <w:instrText xml:space="preserve"> FORMTEXT </w:instrText>
            </w:r>
            <w:r w:rsidRPr="00D926EE">
              <w:rPr>
                <w:szCs w:val="20"/>
                <w:highlight w:val="lightGray"/>
                <w:lang w:eastAsia="en-NZ"/>
              </w:rPr>
            </w:r>
            <w:r w:rsidRPr="00D926EE">
              <w:rPr>
                <w:szCs w:val="20"/>
                <w:highlight w:val="lightGray"/>
                <w:lang w:eastAsia="en-NZ"/>
              </w:rPr>
              <w:fldChar w:fldCharType="separate"/>
            </w:r>
            <w:r w:rsidRPr="00D926EE">
              <w:rPr>
                <w:szCs w:val="20"/>
                <w:highlight w:val="lightGray"/>
                <w:lang w:eastAsia="en-NZ"/>
              </w:rPr>
              <w:t>[e.g. Deliver final report]</w:t>
            </w:r>
            <w:r w:rsidRPr="00D926EE">
              <w:rPr>
                <w:szCs w:val="20"/>
                <w:highlight w:val="lightGray"/>
                <w:lang w:eastAsia="en-NZ"/>
              </w:rPr>
              <w:fldChar w:fldCharType="end"/>
            </w:r>
          </w:p>
        </w:tc>
        <w:tc>
          <w:tcPr>
            <w:cnfStyle w:val="000100000000" w:firstRow="0" w:lastRow="0" w:firstColumn="0" w:lastColumn="1" w:oddVBand="0" w:evenVBand="0" w:oddHBand="0" w:evenHBand="0" w:firstRowFirstColumn="0" w:firstRowLastColumn="0" w:lastRowFirstColumn="0" w:lastRowLastColumn="0"/>
            <w:tcW w:w="988" w:type="pct"/>
          </w:tcPr>
          <w:p w14:paraId="132EB856" w14:textId="77777777" w:rsidR="00777D3A" w:rsidRPr="00D926EE" w:rsidRDefault="00777D3A" w:rsidP="0013063E">
            <w:pPr>
              <w:pStyle w:val="BodyText"/>
              <w:keepNext/>
              <w:spacing w:after="0"/>
              <w:ind w:right="198"/>
              <w:jc w:val="right"/>
              <w:rPr>
                <w:noProof/>
                <w:szCs w:val="20"/>
                <w:highlight w:val="lightGray"/>
              </w:rPr>
            </w:pPr>
            <w:r w:rsidRPr="00D926EE">
              <w:rPr>
                <w:noProof/>
                <w:szCs w:val="20"/>
                <w:highlight w:val="lightGray"/>
              </w:rPr>
              <w:fldChar w:fldCharType="begin">
                <w:ffData>
                  <w:name w:val="Text18"/>
                  <w:enabled/>
                  <w:calcOnExit w:val="0"/>
                  <w:textInput/>
                </w:ffData>
              </w:fldChar>
            </w:r>
            <w:r w:rsidRPr="00D926EE">
              <w:rPr>
                <w:noProof/>
                <w:szCs w:val="20"/>
                <w:highlight w:val="lightGray"/>
              </w:rPr>
              <w:instrText xml:space="preserve"> FORMTEXT </w:instrText>
            </w:r>
            <w:r w:rsidRPr="00D926EE">
              <w:rPr>
                <w:noProof/>
                <w:szCs w:val="20"/>
                <w:highlight w:val="lightGray"/>
              </w:rPr>
            </w:r>
            <w:r w:rsidRPr="00D926EE">
              <w:rPr>
                <w:noProof/>
                <w:szCs w:val="20"/>
                <w:highlight w:val="lightGray"/>
              </w:rPr>
              <w:fldChar w:fldCharType="separate"/>
            </w:r>
            <w:r w:rsidRPr="00D926EE">
              <w:rPr>
                <w:noProof/>
                <w:szCs w:val="20"/>
                <w:highlight w:val="lightGray"/>
              </w:rPr>
              <w:t> </w:t>
            </w:r>
            <w:r w:rsidRPr="00D926EE">
              <w:rPr>
                <w:noProof/>
                <w:szCs w:val="20"/>
                <w:highlight w:val="lightGray"/>
              </w:rPr>
              <w:t> </w:t>
            </w:r>
            <w:r w:rsidRPr="00D926EE">
              <w:rPr>
                <w:noProof/>
                <w:szCs w:val="20"/>
                <w:highlight w:val="lightGray"/>
              </w:rPr>
              <w:t> </w:t>
            </w:r>
            <w:r w:rsidRPr="00D926EE">
              <w:rPr>
                <w:noProof/>
                <w:szCs w:val="20"/>
                <w:highlight w:val="lightGray"/>
              </w:rPr>
              <w:t> </w:t>
            </w:r>
            <w:r w:rsidRPr="00D926EE">
              <w:rPr>
                <w:noProof/>
                <w:szCs w:val="20"/>
                <w:highlight w:val="lightGray"/>
              </w:rPr>
              <w:t> </w:t>
            </w:r>
            <w:r w:rsidRPr="00D926EE">
              <w:rPr>
                <w:noProof/>
                <w:szCs w:val="20"/>
                <w:highlight w:val="lightGray"/>
              </w:rPr>
              <w:fldChar w:fldCharType="end"/>
            </w:r>
          </w:p>
        </w:tc>
      </w:tr>
      <w:tr w:rsidR="00777D3A" w:rsidRPr="00D926EE" w14:paraId="078C9D27" w14:textId="77777777" w:rsidTr="00777D3A">
        <w:tc>
          <w:tcPr>
            <w:cnfStyle w:val="001000000000" w:firstRow="0" w:lastRow="0" w:firstColumn="1" w:lastColumn="0" w:oddVBand="0" w:evenVBand="0" w:oddHBand="0" w:evenHBand="0" w:firstRowFirstColumn="0" w:firstRowLastColumn="0" w:lastRowFirstColumn="0" w:lastRowLastColumn="0"/>
            <w:tcW w:w="368" w:type="pct"/>
            <w:noWrap/>
          </w:tcPr>
          <w:p w14:paraId="16103114" w14:textId="77777777" w:rsidR="00777D3A" w:rsidRPr="00D926EE" w:rsidRDefault="00777D3A" w:rsidP="0013063E">
            <w:pPr>
              <w:pStyle w:val="BodyText"/>
              <w:spacing w:after="0"/>
              <w:jc w:val="center"/>
              <w:rPr>
                <w:szCs w:val="20"/>
              </w:rPr>
            </w:pPr>
            <w:r w:rsidRPr="00D926EE">
              <w:rPr>
                <w:szCs w:val="20"/>
              </w:rPr>
              <w:t>3</w:t>
            </w:r>
          </w:p>
        </w:tc>
        <w:tc>
          <w:tcPr>
            <w:tcW w:w="3644" w:type="pct"/>
          </w:tcPr>
          <w:p w14:paraId="0637855E" w14:textId="77777777" w:rsidR="00777D3A" w:rsidRPr="00D926EE" w:rsidRDefault="00777D3A" w:rsidP="0013063E">
            <w:pPr>
              <w:pStyle w:val="BodyText"/>
              <w:spacing w:after="0"/>
              <w:cnfStyle w:val="000000000000" w:firstRow="0" w:lastRow="0" w:firstColumn="0" w:lastColumn="0" w:oddVBand="0" w:evenVBand="0" w:oddHBand="0" w:evenHBand="0" w:firstRowFirstColumn="0" w:firstRowLastColumn="0" w:lastRowFirstColumn="0" w:lastRowLastColumn="0"/>
              <w:rPr>
                <w:szCs w:val="20"/>
                <w:highlight w:val="lightGray"/>
                <w:lang w:eastAsia="en-NZ"/>
              </w:rPr>
            </w:pPr>
            <w:r w:rsidRPr="00D926EE">
              <w:rPr>
                <w:szCs w:val="20"/>
                <w:highlight w:val="lightGray"/>
                <w:lang w:eastAsia="en-NZ"/>
              </w:rPr>
              <w:fldChar w:fldCharType="begin">
                <w:ffData>
                  <w:name w:val="Text18"/>
                  <w:enabled/>
                  <w:calcOnExit w:val="0"/>
                  <w:textInput/>
                </w:ffData>
              </w:fldChar>
            </w:r>
            <w:r w:rsidRPr="00D926EE">
              <w:rPr>
                <w:szCs w:val="20"/>
                <w:highlight w:val="lightGray"/>
                <w:lang w:eastAsia="en-NZ"/>
              </w:rPr>
              <w:instrText xml:space="preserve"> FORMTEXT </w:instrText>
            </w:r>
            <w:r w:rsidRPr="00D926EE">
              <w:rPr>
                <w:szCs w:val="20"/>
                <w:highlight w:val="lightGray"/>
                <w:lang w:eastAsia="en-NZ"/>
              </w:rPr>
            </w:r>
            <w:r w:rsidRPr="00D926EE">
              <w:rPr>
                <w:szCs w:val="20"/>
                <w:highlight w:val="lightGray"/>
                <w:lang w:eastAsia="en-NZ"/>
              </w:rPr>
              <w:fldChar w:fldCharType="separate"/>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fldChar w:fldCharType="end"/>
            </w:r>
          </w:p>
        </w:tc>
        <w:tc>
          <w:tcPr>
            <w:cnfStyle w:val="000100000000" w:firstRow="0" w:lastRow="0" w:firstColumn="0" w:lastColumn="1" w:oddVBand="0" w:evenVBand="0" w:oddHBand="0" w:evenHBand="0" w:firstRowFirstColumn="0" w:firstRowLastColumn="0" w:lastRowFirstColumn="0" w:lastRowLastColumn="0"/>
            <w:tcW w:w="988" w:type="pct"/>
          </w:tcPr>
          <w:p w14:paraId="1B041B00" w14:textId="77777777" w:rsidR="00777D3A" w:rsidRPr="00D926EE" w:rsidRDefault="00777D3A" w:rsidP="0013063E">
            <w:pPr>
              <w:pStyle w:val="BodyText"/>
              <w:keepNext/>
              <w:spacing w:after="0"/>
              <w:ind w:right="198"/>
              <w:jc w:val="right"/>
              <w:rPr>
                <w:noProof/>
                <w:szCs w:val="20"/>
                <w:highlight w:val="lightGray"/>
              </w:rPr>
            </w:pPr>
            <w:r w:rsidRPr="00D926EE">
              <w:rPr>
                <w:noProof/>
                <w:szCs w:val="20"/>
                <w:highlight w:val="lightGray"/>
              </w:rPr>
              <w:fldChar w:fldCharType="begin">
                <w:ffData>
                  <w:name w:val="Text18"/>
                  <w:enabled/>
                  <w:calcOnExit w:val="0"/>
                  <w:textInput/>
                </w:ffData>
              </w:fldChar>
            </w:r>
            <w:r w:rsidRPr="00D926EE">
              <w:rPr>
                <w:noProof/>
                <w:szCs w:val="20"/>
                <w:highlight w:val="lightGray"/>
              </w:rPr>
              <w:instrText xml:space="preserve"> FORMTEXT </w:instrText>
            </w:r>
            <w:r w:rsidRPr="00D926EE">
              <w:rPr>
                <w:noProof/>
                <w:szCs w:val="20"/>
                <w:highlight w:val="lightGray"/>
              </w:rPr>
            </w:r>
            <w:r w:rsidRPr="00D926EE">
              <w:rPr>
                <w:noProof/>
                <w:szCs w:val="20"/>
                <w:highlight w:val="lightGray"/>
              </w:rPr>
              <w:fldChar w:fldCharType="separate"/>
            </w:r>
            <w:r w:rsidRPr="00D926EE">
              <w:rPr>
                <w:noProof/>
                <w:szCs w:val="20"/>
                <w:highlight w:val="lightGray"/>
              </w:rPr>
              <w:t> </w:t>
            </w:r>
            <w:r w:rsidRPr="00D926EE">
              <w:rPr>
                <w:noProof/>
                <w:szCs w:val="20"/>
                <w:highlight w:val="lightGray"/>
              </w:rPr>
              <w:t> </w:t>
            </w:r>
            <w:r w:rsidRPr="00D926EE">
              <w:rPr>
                <w:noProof/>
                <w:szCs w:val="20"/>
                <w:highlight w:val="lightGray"/>
              </w:rPr>
              <w:t> </w:t>
            </w:r>
            <w:r w:rsidRPr="00D926EE">
              <w:rPr>
                <w:noProof/>
                <w:szCs w:val="20"/>
                <w:highlight w:val="lightGray"/>
              </w:rPr>
              <w:t> </w:t>
            </w:r>
            <w:r w:rsidRPr="00D926EE">
              <w:rPr>
                <w:noProof/>
                <w:szCs w:val="20"/>
                <w:highlight w:val="lightGray"/>
              </w:rPr>
              <w:t> </w:t>
            </w:r>
            <w:r w:rsidRPr="00D926EE">
              <w:rPr>
                <w:noProof/>
                <w:szCs w:val="20"/>
                <w:highlight w:val="lightGray"/>
              </w:rPr>
              <w:fldChar w:fldCharType="end"/>
            </w:r>
          </w:p>
        </w:tc>
      </w:tr>
      <w:tr w:rsidR="00777D3A" w:rsidRPr="00D926EE" w14:paraId="067569AA" w14:textId="77777777" w:rsidTr="00777D3A">
        <w:tc>
          <w:tcPr>
            <w:cnfStyle w:val="001000000000" w:firstRow="0" w:lastRow="0" w:firstColumn="1" w:lastColumn="0" w:oddVBand="0" w:evenVBand="0" w:oddHBand="0" w:evenHBand="0" w:firstRowFirstColumn="0" w:firstRowLastColumn="0" w:lastRowFirstColumn="0" w:lastRowLastColumn="0"/>
            <w:tcW w:w="368" w:type="pct"/>
            <w:noWrap/>
          </w:tcPr>
          <w:p w14:paraId="3875A5F4" w14:textId="77777777" w:rsidR="00777D3A" w:rsidRPr="00D926EE" w:rsidRDefault="00777D3A" w:rsidP="0013063E">
            <w:pPr>
              <w:pStyle w:val="BodyText"/>
              <w:spacing w:after="0"/>
              <w:jc w:val="center"/>
              <w:rPr>
                <w:szCs w:val="20"/>
              </w:rPr>
            </w:pPr>
            <w:r w:rsidRPr="00D926EE">
              <w:rPr>
                <w:szCs w:val="20"/>
              </w:rPr>
              <w:t>4</w:t>
            </w:r>
          </w:p>
        </w:tc>
        <w:tc>
          <w:tcPr>
            <w:tcW w:w="3644" w:type="pct"/>
          </w:tcPr>
          <w:p w14:paraId="146C51BE" w14:textId="77777777" w:rsidR="00777D3A" w:rsidRPr="00D926EE" w:rsidRDefault="00777D3A" w:rsidP="0013063E">
            <w:pPr>
              <w:pStyle w:val="BodyText"/>
              <w:spacing w:after="0"/>
              <w:cnfStyle w:val="000000000000" w:firstRow="0" w:lastRow="0" w:firstColumn="0" w:lastColumn="0" w:oddVBand="0" w:evenVBand="0" w:oddHBand="0" w:evenHBand="0" w:firstRowFirstColumn="0" w:firstRowLastColumn="0" w:lastRowFirstColumn="0" w:lastRowLastColumn="0"/>
              <w:rPr>
                <w:szCs w:val="20"/>
                <w:highlight w:val="lightGray"/>
                <w:lang w:eastAsia="en-NZ"/>
              </w:rPr>
            </w:pPr>
            <w:r w:rsidRPr="00D926EE">
              <w:rPr>
                <w:szCs w:val="20"/>
                <w:highlight w:val="lightGray"/>
                <w:lang w:eastAsia="en-NZ"/>
              </w:rPr>
              <w:fldChar w:fldCharType="begin">
                <w:ffData>
                  <w:name w:val="Text18"/>
                  <w:enabled/>
                  <w:calcOnExit w:val="0"/>
                  <w:textInput/>
                </w:ffData>
              </w:fldChar>
            </w:r>
            <w:r w:rsidRPr="00D926EE">
              <w:rPr>
                <w:szCs w:val="20"/>
                <w:highlight w:val="lightGray"/>
                <w:lang w:eastAsia="en-NZ"/>
              </w:rPr>
              <w:instrText xml:space="preserve"> FORMTEXT </w:instrText>
            </w:r>
            <w:r w:rsidRPr="00D926EE">
              <w:rPr>
                <w:szCs w:val="20"/>
                <w:highlight w:val="lightGray"/>
                <w:lang w:eastAsia="en-NZ"/>
              </w:rPr>
            </w:r>
            <w:r w:rsidRPr="00D926EE">
              <w:rPr>
                <w:szCs w:val="20"/>
                <w:highlight w:val="lightGray"/>
                <w:lang w:eastAsia="en-NZ"/>
              </w:rPr>
              <w:fldChar w:fldCharType="separate"/>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fldChar w:fldCharType="end"/>
            </w:r>
          </w:p>
        </w:tc>
        <w:tc>
          <w:tcPr>
            <w:cnfStyle w:val="000100000000" w:firstRow="0" w:lastRow="0" w:firstColumn="0" w:lastColumn="1" w:oddVBand="0" w:evenVBand="0" w:oddHBand="0" w:evenHBand="0" w:firstRowFirstColumn="0" w:firstRowLastColumn="0" w:lastRowFirstColumn="0" w:lastRowLastColumn="0"/>
            <w:tcW w:w="988" w:type="pct"/>
          </w:tcPr>
          <w:p w14:paraId="1A88A02C" w14:textId="77777777" w:rsidR="00777D3A" w:rsidRPr="00D926EE" w:rsidRDefault="00777D3A" w:rsidP="0013063E">
            <w:pPr>
              <w:pStyle w:val="BodyText"/>
              <w:keepNext/>
              <w:spacing w:after="0"/>
              <w:ind w:right="198"/>
              <w:jc w:val="right"/>
              <w:rPr>
                <w:noProof/>
                <w:szCs w:val="20"/>
                <w:highlight w:val="lightGray"/>
              </w:rPr>
            </w:pPr>
            <w:r w:rsidRPr="00D926EE">
              <w:rPr>
                <w:noProof/>
                <w:szCs w:val="20"/>
                <w:highlight w:val="lightGray"/>
              </w:rPr>
              <w:fldChar w:fldCharType="begin">
                <w:ffData>
                  <w:name w:val="Text18"/>
                  <w:enabled/>
                  <w:calcOnExit w:val="0"/>
                  <w:textInput/>
                </w:ffData>
              </w:fldChar>
            </w:r>
            <w:r w:rsidRPr="00D926EE">
              <w:rPr>
                <w:noProof/>
                <w:szCs w:val="20"/>
                <w:highlight w:val="lightGray"/>
              </w:rPr>
              <w:instrText xml:space="preserve"> FORMTEXT </w:instrText>
            </w:r>
            <w:r w:rsidRPr="00D926EE">
              <w:rPr>
                <w:noProof/>
                <w:szCs w:val="20"/>
                <w:highlight w:val="lightGray"/>
              </w:rPr>
            </w:r>
            <w:r w:rsidRPr="00D926EE">
              <w:rPr>
                <w:noProof/>
                <w:szCs w:val="20"/>
                <w:highlight w:val="lightGray"/>
              </w:rPr>
              <w:fldChar w:fldCharType="separate"/>
            </w:r>
            <w:r w:rsidRPr="00D926EE">
              <w:rPr>
                <w:noProof/>
                <w:szCs w:val="20"/>
                <w:highlight w:val="lightGray"/>
              </w:rPr>
              <w:t> </w:t>
            </w:r>
            <w:r w:rsidRPr="00D926EE">
              <w:rPr>
                <w:noProof/>
                <w:szCs w:val="20"/>
                <w:highlight w:val="lightGray"/>
              </w:rPr>
              <w:t> </w:t>
            </w:r>
            <w:r w:rsidRPr="00D926EE">
              <w:rPr>
                <w:noProof/>
                <w:szCs w:val="20"/>
                <w:highlight w:val="lightGray"/>
              </w:rPr>
              <w:t> </w:t>
            </w:r>
            <w:r w:rsidRPr="00D926EE">
              <w:rPr>
                <w:noProof/>
                <w:szCs w:val="20"/>
                <w:highlight w:val="lightGray"/>
              </w:rPr>
              <w:t> </w:t>
            </w:r>
            <w:r w:rsidRPr="00D926EE">
              <w:rPr>
                <w:noProof/>
                <w:szCs w:val="20"/>
                <w:highlight w:val="lightGray"/>
              </w:rPr>
              <w:t> </w:t>
            </w:r>
            <w:r w:rsidRPr="00D926EE">
              <w:rPr>
                <w:noProof/>
                <w:szCs w:val="20"/>
                <w:highlight w:val="lightGray"/>
              </w:rPr>
              <w:fldChar w:fldCharType="end"/>
            </w:r>
          </w:p>
        </w:tc>
      </w:tr>
      <w:tr w:rsidR="00777D3A" w:rsidRPr="00D926EE" w14:paraId="3F19532E" w14:textId="77777777" w:rsidTr="00777D3A">
        <w:tc>
          <w:tcPr>
            <w:cnfStyle w:val="001000000000" w:firstRow="0" w:lastRow="0" w:firstColumn="1" w:lastColumn="0" w:oddVBand="0" w:evenVBand="0" w:oddHBand="0" w:evenHBand="0" w:firstRowFirstColumn="0" w:firstRowLastColumn="0" w:lastRowFirstColumn="0" w:lastRowLastColumn="0"/>
            <w:tcW w:w="368" w:type="pct"/>
            <w:noWrap/>
          </w:tcPr>
          <w:p w14:paraId="616362A4" w14:textId="77777777" w:rsidR="00777D3A" w:rsidRPr="00D926EE" w:rsidRDefault="00777D3A" w:rsidP="0013063E">
            <w:pPr>
              <w:pStyle w:val="BodyText"/>
              <w:spacing w:after="0"/>
              <w:jc w:val="center"/>
              <w:rPr>
                <w:szCs w:val="20"/>
              </w:rPr>
            </w:pPr>
            <w:r w:rsidRPr="00D926EE">
              <w:rPr>
                <w:szCs w:val="20"/>
              </w:rPr>
              <w:t>5</w:t>
            </w:r>
          </w:p>
        </w:tc>
        <w:tc>
          <w:tcPr>
            <w:tcW w:w="3644" w:type="pct"/>
          </w:tcPr>
          <w:p w14:paraId="3CCC1D26" w14:textId="77777777" w:rsidR="00777D3A" w:rsidRPr="00D926EE" w:rsidRDefault="00777D3A" w:rsidP="0013063E">
            <w:pPr>
              <w:pStyle w:val="BodyText"/>
              <w:spacing w:after="0"/>
              <w:cnfStyle w:val="000000000000" w:firstRow="0" w:lastRow="0" w:firstColumn="0" w:lastColumn="0" w:oddVBand="0" w:evenVBand="0" w:oddHBand="0" w:evenHBand="0" w:firstRowFirstColumn="0" w:firstRowLastColumn="0" w:lastRowFirstColumn="0" w:lastRowLastColumn="0"/>
              <w:rPr>
                <w:szCs w:val="20"/>
                <w:highlight w:val="lightGray"/>
                <w:lang w:eastAsia="en-NZ"/>
              </w:rPr>
            </w:pPr>
            <w:r w:rsidRPr="00D926EE">
              <w:rPr>
                <w:szCs w:val="20"/>
                <w:highlight w:val="lightGray"/>
                <w:lang w:eastAsia="en-NZ"/>
              </w:rPr>
              <w:fldChar w:fldCharType="begin">
                <w:ffData>
                  <w:name w:val="Text18"/>
                  <w:enabled/>
                  <w:calcOnExit w:val="0"/>
                  <w:textInput/>
                </w:ffData>
              </w:fldChar>
            </w:r>
            <w:r w:rsidRPr="00D926EE">
              <w:rPr>
                <w:szCs w:val="20"/>
                <w:highlight w:val="lightGray"/>
                <w:lang w:eastAsia="en-NZ"/>
              </w:rPr>
              <w:instrText xml:space="preserve"> FORMTEXT </w:instrText>
            </w:r>
            <w:r w:rsidRPr="00D926EE">
              <w:rPr>
                <w:szCs w:val="20"/>
                <w:highlight w:val="lightGray"/>
                <w:lang w:eastAsia="en-NZ"/>
              </w:rPr>
            </w:r>
            <w:r w:rsidRPr="00D926EE">
              <w:rPr>
                <w:szCs w:val="20"/>
                <w:highlight w:val="lightGray"/>
                <w:lang w:eastAsia="en-NZ"/>
              </w:rPr>
              <w:fldChar w:fldCharType="separate"/>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fldChar w:fldCharType="end"/>
            </w:r>
          </w:p>
        </w:tc>
        <w:tc>
          <w:tcPr>
            <w:cnfStyle w:val="000100000000" w:firstRow="0" w:lastRow="0" w:firstColumn="0" w:lastColumn="1" w:oddVBand="0" w:evenVBand="0" w:oddHBand="0" w:evenHBand="0" w:firstRowFirstColumn="0" w:firstRowLastColumn="0" w:lastRowFirstColumn="0" w:lastRowLastColumn="0"/>
            <w:tcW w:w="988" w:type="pct"/>
          </w:tcPr>
          <w:p w14:paraId="7D870009" w14:textId="77777777" w:rsidR="00777D3A" w:rsidRPr="00D926EE" w:rsidRDefault="00777D3A" w:rsidP="0013063E">
            <w:pPr>
              <w:pStyle w:val="BodyText"/>
              <w:keepNext/>
              <w:spacing w:after="0"/>
              <w:ind w:right="198"/>
              <w:jc w:val="right"/>
              <w:rPr>
                <w:noProof/>
                <w:szCs w:val="20"/>
                <w:highlight w:val="lightGray"/>
              </w:rPr>
            </w:pPr>
            <w:r w:rsidRPr="00D926EE">
              <w:rPr>
                <w:noProof/>
                <w:szCs w:val="20"/>
                <w:highlight w:val="lightGray"/>
              </w:rPr>
              <w:fldChar w:fldCharType="begin">
                <w:ffData>
                  <w:name w:val="Text18"/>
                  <w:enabled/>
                  <w:calcOnExit w:val="0"/>
                  <w:textInput/>
                </w:ffData>
              </w:fldChar>
            </w:r>
            <w:r w:rsidRPr="00D926EE">
              <w:rPr>
                <w:noProof/>
                <w:szCs w:val="20"/>
                <w:highlight w:val="lightGray"/>
              </w:rPr>
              <w:instrText xml:space="preserve"> FORMTEXT </w:instrText>
            </w:r>
            <w:r w:rsidRPr="00D926EE">
              <w:rPr>
                <w:noProof/>
                <w:szCs w:val="20"/>
                <w:highlight w:val="lightGray"/>
              </w:rPr>
            </w:r>
            <w:r w:rsidRPr="00D926EE">
              <w:rPr>
                <w:noProof/>
                <w:szCs w:val="20"/>
                <w:highlight w:val="lightGray"/>
              </w:rPr>
              <w:fldChar w:fldCharType="separate"/>
            </w:r>
            <w:r w:rsidRPr="00D926EE">
              <w:rPr>
                <w:noProof/>
                <w:szCs w:val="20"/>
                <w:highlight w:val="lightGray"/>
              </w:rPr>
              <w:t> </w:t>
            </w:r>
            <w:r w:rsidRPr="00D926EE">
              <w:rPr>
                <w:noProof/>
                <w:szCs w:val="20"/>
                <w:highlight w:val="lightGray"/>
              </w:rPr>
              <w:t> </w:t>
            </w:r>
            <w:r w:rsidRPr="00D926EE">
              <w:rPr>
                <w:noProof/>
                <w:szCs w:val="20"/>
                <w:highlight w:val="lightGray"/>
              </w:rPr>
              <w:t> </w:t>
            </w:r>
            <w:r w:rsidRPr="00D926EE">
              <w:rPr>
                <w:noProof/>
                <w:szCs w:val="20"/>
                <w:highlight w:val="lightGray"/>
              </w:rPr>
              <w:t> </w:t>
            </w:r>
            <w:r w:rsidRPr="00D926EE">
              <w:rPr>
                <w:noProof/>
                <w:szCs w:val="20"/>
                <w:highlight w:val="lightGray"/>
              </w:rPr>
              <w:t> </w:t>
            </w:r>
            <w:r w:rsidRPr="00D926EE">
              <w:rPr>
                <w:noProof/>
                <w:szCs w:val="20"/>
                <w:highlight w:val="lightGray"/>
              </w:rPr>
              <w:fldChar w:fldCharType="end"/>
            </w:r>
          </w:p>
        </w:tc>
      </w:tr>
      <w:tr w:rsidR="00777D3A" w:rsidRPr="00D926EE" w14:paraId="23899BD3" w14:textId="77777777" w:rsidTr="00777D3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2" w:type="pct"/>
            <w:gridSpan w:val="2"/>
          </w:tcPr>
          <w:p w14:paraId="4998D391" w14:textId="77777777" w:rsidR="00777D3A" w:rsidRPr="00D926EE" w:rsidRDefault="00777D3A" w:rsidP="0013063E">
            <w:r w:rsidRPr="00D926EE">
              <w:t>TOTAL FEES</w:t>
            </w:r>
          </w:p>
        </w:tc>
        <w:tc>
          <w:tcPr>
            <w:cnfStyle w:val="000100000000" w:firstRow="0" w:lastRow="0" w:firstColumn="0" w:lastColumn="1" w:oddVBand="0" w:evenVBand="0" w:oddHBand="0" w:evenHBand="0" w:firstRowFirstColumn="0" w:firstRowLastColumn="0" w:lastRowFirstColumn="0" w:lastRowLastColumn="0"/>
            <w:tcW w:w="988" w:type="pct"/>
          </w:tcPr>
          <w:p w14:paraId="06F942F0" w14:textId="77777777" w:rsidR="00777D3A" w:rsidRPr="00D926EE" w:rsidRDefault="00777D3A" w:rsidP="0013063E">
            <w:pPr>
              <w:pStyle w:val="BodyText"/>
              <w:keepNext/>
              <w:spacing w:after="0"/>
              <w:ind w:right="198"/>
              <w:jc w:val="right"/>
              <w:rPr>
                <w:b w:val="0"/>
                <w:bCs w:val="0"/>
                <w:noProof/>
                <w:szCs w:val="20"/>
                <w:highlight w:val="lightGray"/>
              </w:rPr>
            </w:pPr>
            <w:r w:rsidRPr="00D926EE">
              <w:rPr>
                <w:b w:val="0"/>
                <w:bCs w:val="0"/>
                <w:noProof/>
                <w:szCs w:val="20"/>
                <w:highlight w:val="lightGray"/>
              </w:rPr>
              <w:t>NZ$</w:t>
            </w:r>
            <w:r w:rsidRPr="00D926EE">
              <w:rPr>
                <w:noProof/>
                <w:szCs w:val="20"/>
                <w:highlight w:val="lightGray"/>
              </w:rPr>
              <w:fldChar w:fldCharType="begin">
                <w:ffData>
                  <w:name w:val="Text18"/>
                  <w:enabled/>
                  <w:calcOnExit w:val="0"/>
                  <w:textInput/>
                </w:ffData>
              </w:fldChar>
            </w:r>
            <w:r w:rsidRPr="00D926EE">
              <w:rPr>
                <w:b w:val="0"/>
                <w:bCs w:val="0"/>
                <w:noProof/>
                <w:szCs w:val="20"/>
                <w:highlight w:val="lightGray"/>
              </w:rPr>
              <w:instrText xml:space="preserve"> FORMTEXT </w:instrText>
            </w:r>
            <w:r w:rsidRPr="00D926EE">
              <w:rPr>
                <w:noProof/>
                <w:szCs w:val="20"/>
                <w:highlight w:val="lightGray"/>
              </w:rPr>
            </w:r>
            <w:r w:rsidRPr="00D926EE">
              <w:rPr>
                <w:noProof/>
                <w:szCs w:val="20"/>
                <w:highlight w:val="lightGray"/>
              </w:rPr>
              <w:fldChar w:fldCharType="separate"/>
            </w:r>
            <w:r w:rsidRPr="00D926EE">
              <w:rPr>
                <w:b w:val="0"/>
                <w:bCs w:val="0"/>
                <w:noProof/>
                <w:szCs w:val="20"/>
                <w:highlight w:val="lightGray"/>
              </w:rPr>
              <w:t> </w:t>
            </w:r>
            <w:r w:rsidRPr="00D926EE">
              <w:rPr>
                <w:b w:val="0"/>
                <w:bCs w:val="0"/>
                <w:noProof/>
                <w:szCs w:val="20"/>
                <w:highlight w:val="lightGray"/>
              </w:rPr>
              <w:t> </w:t>
            </w:r>
            <w:r w:rsidRPr="00D926EE">
              <w:rPr>
                <w:b w:val="0"/>
                <w:bCs w:val="0"/>
                <w:noProof/>
                <w:szCs w:val="20"/>
                <w:highlight w:val="lightGray"/>
              </w:rPr>
              <w:t> </w:t>
            </w:r>
            <w:r w:rsidRPr="00D926EE">
              <w:rPr>
                <w:b w:val="0"/>
                <w:bCs w:val="0"/>
                <w:noProof/>
                <w:szCs w:val="20"/>
                <w:highlight w:val="lightGray"/>
              </w:rPr>
              <w:t> </w:t>
            </w:r>
            <w:r w:rsidRPr="00D926EE">
              <w:rPr>
                <w:b w:val="0"/>
                <w:bCs w:val="0"/>
                <w:noProof/>
                <w:szCs w:val="20"/>
                <w:highlight w:val="lightGray"/>
              </w:rPr>
              <w:t> </w:t>
            </w:r>
            <w:r w:rsidRPr="00D926EE">
              <w:rPr>
                <w:noProof/>
                <w:szCs w:val="20"/>
                <w:highlight w:val="lightGray"/>
              </w:rPr>
              <w:fldChar w:fldCharType="end"/>
            </w:r>
          </w:p>
        </w:tc>
      </w:tr>
    </w:tbl>
    <w:p w14:paraId="712BAEB0" w14:textId="77777777" w:rsidR="00777D3A" w:rsidRPr="00D926EE" w:rsidRDefault="00777D3A" w:rsidP="00D926EE">
      <w:pPr>
        <w:pStyle w:val="Heading1"/>
      </w:pPr>
      <w:r w:rsidRPr="00D926EE">
        <w:t xml:space="preserve">Budget for Expenses: </w:t>
      </w:r>
    </w:p>
    <w:p w14:paraId="33D98941" w14:textId="77777777" w:rsidR="00777D3A" w:rsidRPr="00C00545" w:rsidRDefault="00777D3A" w:rsidP="00777D3A">
      <w:r w:rsidRPr="00C00545">
        <w:t>(</w:t>
      </w:r>
      <w:proofErr w:type="gramStart"/>
      <w:r w:rsidRPr="00C00545">
        <w:t>e.g.</w:t>
      </w:r>
      <w:proofErr w:type="gramEnd"/>
      <w:r w:rsidRPr="00C00545">
        <w:t xml:space="preserve"> Travel, goods, per diems and associated services)</w:t>
      </w:r>
    </w:p>
    <w:tbl>
      <w:tblPr>
        <w:tblStyle w:val="GridTable1Light-Accent6"/>
        <w:tblW w:w="5006" w:type="pct"/>
        <w:tblLook w:val="01E0" w:firstRow="1" w:lastRow="1" w:firstColumn="1" w:lastColumn="1" w:noHBand="0" w:noVBand="0"/>
      </w:tblPr>
      <w:tblGrid>
        <w:gridCol w:w="2261"/>
        <w:gridCol w:w="3008"/>
        <w:gridCol w:w="222"/>
        <w:gridCol w:w="1107"/>
        <w:gridCol w:w="1071"/>
        <w:gridCol w:w="1358"/>
      </w:tblGrid>
      <w:tr w:rsidR="00777D3A" w:rsidRPr="00D926EE" w14:paraId="22AB2BBE" w14:textId="77777777" w:rsidTr="00777D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3" w:type="pct"/>
          </w:tcPr>
          <w:p w14:paraId="3B734B12" w14:textId="77777777" w:rsidR="00777D3A" w:rsidRPr="00D926EE" w:rsidRDefault="00777D3A" w:rsidP="0013063E">
            <w:pPr>
              <w:rPr>
                <w:b w:val="0"/>
              </w:rPr>
            </w:pPr>
            <w:r w:rsidRPr="00D926EE">
              <w:rPr>
                <w:b w:val="0"/>
              </w:rPr>
              <w:t>Expense type</w:t>
            </w:r>
          </w:p>
        </w:tc>
        <w:tc>
          <w:tcPr>
            <w:tcW w:w="1666" w:type="pct"/>
          </w:tcPr>
          <w:p w14:paraId="5113BDD1" w14:textId="77777777" w:rsidR="00777D3A" w:rsidRPr="00D926EE" w:rsidRDefault="00777D3A" w:rsidP="0013063E">
            <w:pPr>
              <w:cnfStyle w:val="100000000000" w:firstRow="1" w:lastRow="0" w:firstColumn="0" w:lastColumn="0" w:oddVBand="0" w:evenVBand="0" w:oddHBand="0" w:evenHBand="0" w:firstRowFirstColumn="0" w:firstRowLastColumn="0" w:lastRowFirstColumn="0" w:lastRowLastColumn="0"/>
              <w:rPr>
                <w:b w:val="0"/>
              </w:rPr>
            </w:pPr>
            <w:r w:rsidRPr="00D926EE">
              <w:rPr>
                <w:b w:val="0"/>
              </w:rPr>
              <w:t>Detail</w:t>
            </w:r>
          </w:p>
        </w:tc>
        <w:tc>
          <w:tcPr>
            <w:tcW w:w="123" w:type="pct"/>
          </w:tcPr>
          <w:p w14:paraId="7D65D151" w14:textId="77777777" w:rsidR="00777D3A" w:rsidRPr="00D926EE" w:rsidRDefault="00777D3A" w:rsidP="0013063E">
            <w:pPr>
              <w:cnfStyle w:val="100000000000" w:firstRow="1" w:lastRow="0" w:firstColumn="0" w:lastColumn="0" w:oddVBand="0" w:evenVBand="0" w:oddHBand="0" w:evenHBand="0" w:firstRowFirstColumn="0" w:firstRowLastColumn="0" w:lastRowFirstColumn="0" w:lastRowLastColumn="0"/>
              <w:rPr>
                <w:b w:val="0"/>
              </w:rPr>
            </w:pPr>
          </w:p>
        </w:tc>
        <w:tc>
          <w:tcPr>
            <w:tcW w:w="613" w:type="pct"/>
          </w:tcPr>
          <w:p w14:paraId="461BFAD3" w14:textId="77777777" w:rsidR="00777D3A" w:rsidRPr="00D926EE" w:rsidRDefault="00777D3A" w:rsidP="0013063E">
            <w:pPr>
              <w:cnfStyle w:val="100000000000" w:firstRow="1" w:lastRow="0" w:firstColumn="0" w:lastColumn="0" w:oddVBand="0" w:evenVBand="0" w:oddHBand="0" w:evenHBand="0" w:firstRowFirstColumn="0" w:firstRowLastColumn="0" w:lastRowFirstColumn="0" w:lastRowLastColumn="0"/>
              <w:rPr>
                <w:b w:val="0"/>
              </w:rPr>
            </w:pPr>
            <w:r w:rsidRPr="00D926EE">
              <w:rPr>
                <w:b w:val="0"/>
              </w:rPr>
              <w:t>Cost</w:t>
            </w:r>
          </w:p>
        </w:tc>
        <w:tc>
          <w:tcPr>
            <w:tcW w:w="593" w:type="pct"/>
          </w:tcPr>
          <w:p w14:paraId="3A7247CB" w14:textId="77777777" w:rsidR="00777D3A" w:rsidRPr="00D926EE" w:rsidRDefault="00777D3A" w:rsidP="0013063E">
            <w:pPr>
              <w:cnfStyle w:val="100000000000" w:firstRow="1" w:lastRow="0" w:firstColumn="0" w:lastColumn="0" w:oddVBand="0" w:evenVBand="0" w:oddHBand="0" w:evenHBand="0" w:firstRowFirstColumn="0" w:firstRowLastColumn="0" w:lastRowFirstColumn="0" w:lastRowLastColumn="0"/>
              <w:rPr>
                <w:b w:val="0"/>
              </w:rPr>
            </w:pPr>
            <w:r w:rsidRPr="00D926EE">
              <w:rPr>
                <w:b w:val="0"/>
              </w:rPr>
              <w:t>Quantity</w:t>
            </w:r>
          </w:p>
        </w:tc>
        <w:tc>
          <w:tcPr>
            <w:cnfStyle w:val="000100000000" w:firstRow="0" w:lastRow="0" w:firstColumn="0" w:lastColumn="1" w:oddVBand="0" w:evenVBand="0" w:oddHBand="0" w:evenHBand="0" w:firstRowFirstColumn="0" w:firstRowLastColumn="0" w:lastRowFirstColumn="0" w:lastRowLastColumn="0"/>
            <w:tcW w:w="753" w:type="pct"/>
          </w:tcPr>
          <w:p w14:paraId="4D391A1A" w14:textId="77777777" w:rsidR="00777D3A" w:rsidRPr="00D926EE" w:rsidRDefault="00777D3A" w:rsidP="0013063E">
            <w:pPr>
              <w:rPr>
                <w:b w:val="0"/>
              </w:rPr>
            </w:pPr>
            <w:r w:rsidRPr="00D926EE">
              <w:rPr>
                <w:b w:val="0"/>
              </w:rPr>
              <w:t>Amount</w:t>
            </w:r>
          </w:p>
        </w:tc>
      </w:tr>
      <w:tr w:rsidR="00777D3A" w:rsidRPr="00D926EE" w14:paraId="2928C316" w14:textId="77777777" w:rsidTr="00777D3A">
        <w:tc>
          <w:tcPr>
            <w:cnfStyle w:val="001000000000" w:firstRow="0" w:lastRow="0" w:firstColumn="1" w:lastColumn="0" w:oddVBand="0" w:evenVBand="0" w:oddHBand="0" w:evenHBand="0" w:firstRowFirstColumn="0" w:firstRowLastColumn="0" w:lastRowFirstColumn="0" w:lastRowLastColumn="0"/>
            <w:tcW w:w="1253" w:type="pct"/>
          </w:tcPr>
          <w:p w14:paraId="1BB9D8C4" w14:textId="77777777" w:rsidR="00777D3A" w:rsidRPr="00D926EE" w:rsidRDefault="00777D3A" w:rsidP="0013063E">
            <w:pPr>
              <w:pStyle w:val="BodyText"/>
              <w:keepNext/>
              <w:spacing w:after="0"/>
              <w:rPr>
                <w:szCs w:val="20"/>
                <w:highlight w:val="lightGray"/>
                <w:lang w:eastAsia="en-NZ"/>
              </w:rPr>
            </w:pPr>
            <w:r w:rsidRPr="00D926EE">
              <w:rPr>
                <w:szCs w:val="20"/>
                <w:highlight w:val="lightGray"/>
                <w:lang w:eastAsia="en-NZ"/>
              </w:rPr>
              <w:fldChar w:fldCharType="begin">
                <w:ffData>
                  <w:name w:val="Text28"/>
                  <w:enabled/>
                  <w:calcOnExit w:val="0"/>
                  <w:textInput/>
                </w:ffData>
              </w:fldChar>
            </w:r>
            <w:r w:rsidRPr="00D926EE">
              <w:rPr>
                <w:szCs w:val="20"/>
                <w:highlight w:val="lightGray"/>
                <w:lang w:eastAsia="en-NZ"/>
              </w:rPr>
              <w:instrText xml:space="preserve"> FORMTEXT </w:instrText>
            </w:r>
            <w:r w:rsidRPr="00D926EE">
              <w:rPr>
                <w:szCs w:val="20"/>
                <w:highlight w:val="lightGray"/>
                <w:lang w:eastAsia="en-NZ"/>
              </w:rPr>
            </w:r>
            <w:r w:rsidRPr="00D926EE">
              <w:rPr>
                <w:szCs w:val="20"/>
                <w:highlight w:val="lightGray"/>
                <w:lang w:eastAsia="en-NZ"/>
              </w:rPr>
              <w:fldChar w:fldCharType="separate"/>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fldChar w:fldCharType="end"/>
            </w:r>
          </w:p>
        </w:tc>
        <w:tc>
          <w:tcPr>
            <w:tcW w:w="1666" w:type="pct"/>
          </w:tcPr>
          <w:p w14:paraId="43BD8848" w14:textId="77777777" w:rsidR="00777D3A" w:rsidRPr="00D926EE" w:rsidRDefault="00777D3A" w:rsidP="0013063E">
            <w:pPr>
              <w:pStyle w:val="BodyText"/>
              <w:keepNext/>
              <w:spacing w:after="0"/>
              <w:cnfStyle w:val="000000000000" w:firstRow="0" w:lastRow="0" w:firstColumn="0" w:lastColumn="0" w:oddVBand="0" w:evenVBand="0" w:oddHBand="0" w:evenHBand="0" w:firstRowFirstColumn="0" w:firstRowLastColumn="0" w:lastRowFirstColumn="0" w:lastRowLastColumn="0"/>
              <w:rPr>
                <w:szCs w:val="20"/>
                <w:highlight w:val="lightGray"/>
                <w:lang w:eastAsia="en-NZ"/>
              </w:rPr>
            </w:pPr>
            <w:r w:rsidRPr="00D926EE">
              <w:rPr>
                <w:szCs w:val="20"/>
                <w:highlight w:val="lightGray"/>
                <w:lang w:eastAsia="en-NZ"/>
              </w:rPr>
              <w:fldChar w:fldCharType="begin">
                <w:ffData>
                  <w:name w:val="Text27"/>
                  <w:enabled/>
                  <w:calcOnExit w:val="0"/>
                  <w:textInput/>
                </w:ffData>
              </w:fldChar>
            </w:r>
            <w:r w:rsidRPr="00D926EE">
              <w:rPr>
                <w:szCs w:val="20"/>
                <w:highlight w:val="lightGray"/>
                <w:lang w:eastAsia="en-NZ"/>
              </w:rPr>
              <w:instrText xml:space="preserve"> FORMTEXT </w:instrText>
            </w:r>
            <w:r w:rsidRPr="00D926EE">
              <w:rPr>
                <w:szCs w:val="20"/>
                <w:highlight w:val="lightGray"/>
                <w:lang w:eastAsia="en-NZ"/>
              </w:rPr>
            </w:r>
            <w:r w:rsidRPr="00D926EE">
              <w:rPr>
                <w:szCs w:val="20"/>
                <w:highlight w:val="lightGray"/>
                <w:lang w:eastAsia="en-NZ"/>
              </w:rPr>
              <w:fldChar w:fldCharType="separate"/>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fldChar w:fldCharType="end"/>
            </w:r>
          </w:p>
        </w:tc>
        <w:tc>
          <w:tcPr>
            <w:tcW w:w="123" w:type="pct"/>
          </w:tcPr>
          <w:p w14:paraId="59220B05" w14:textId="77777777" w:rsidR="00777D3A" w:rsidRPr="00D926EE" w:rsidRDefault="00777D3A" w:rsidP="0013063E">
            <w:pPr>
              <w:cnfStyle w:val="000000000000" w:firstRow="0" w:lastRow="0" w:firstColumn="0" w:lastColumn="0" w:oddVBand="0" w:evenVBand="0" w:oddHBand="0" w:evenHBand="0" w:firstRowFirstColumn="0" w:firstRowLastColumn="0" w:lastRowFirstColumn="0" w:lastRowLastColumn="0"/>
              <w:rPr>
                <w:highlight w:val="lightGray"/>
              </w:rPr>
            </w:pPr>
          </w:p>
        </w:tc>
        <w:tc>
          <w:tcPr>
            <w:tcW w:w="613" w:type="pct"/>
          </w:tcPr>
          <w:p w14:paraId="0A0DA8FE" w14:textId="77777777" w:rsidR="00777D3A" w:rsidRPr="00D926EE" w:rsidRDefault="00777D3A" w:rsidP="0013063E">
            <w:pPr>
              <w:pStyle w:val="BodyText"/>
              <w:keepNext/>
              <w:spacing w:after="0"/>
              <w:ind w:right="198"/>
              <w:jc w:val="right"/>
              <w:cnfStyle w:val="000000000000" w:firstRow="0" w:lastRow="0" w:firstColumn="0" w:lastColumn="0" w:oddVBand="0" w:evenVBand="0" w:oddHBand="0" w:evenHBand="0" w:firstRowFirstColumn="0" w:firstRowLastColumn="0" w:lastRowFirstColumn="0" w:lastRowLastColumn="0"/>
              <w:rPr>
                <w:b/>
                <w:bCs/>
                <w:noProof/>
                <w:szCs w:val="20"/>
                <w:highlight w:val="lightGray"/>
              </w:rPr>
            </w:pPr>
            <w:r w:rsidRPr="00D926EE">
              <w:rPr>
                <w:b/>
                <w:bCs/>
                <w:noProof/>
                <w:szCs w:val="20"/>
                <w:highlight w:val="lightGray"/>
              </w:rPr>
              <w:fldChar w:fldCharType="begin">
                <w:ffData>
                  <w:name w:val="Text27"/>
                  <w:enabled/>
                  <w:calcOnExit w:val="0"/>
                  <w:textInput/>
                </w:ffData>
              </w:fldChar>
            </w:r>
            <w:r w:rsidRPr="00D926EE">
              <w:rPr>
                <w:b/>
                <w:bCs/>
                <w:noProof/>
                <w:szCs w:val="20"/>
                <w:highlight w:val="lightGray"/>
              </w:rPr>
              <w:instrText xml:space="preserve"> FORMTEXT </w:instrText>
            </w:r>
            <w:r w:rsidRPr="00D926EE">
              <w:rPr>
                <w:b/>
                <w:bCs/>
                <w:noProof/>
                <w:szCs w:val="20"/>
                <w:highlight w:val="lightGray"/>
              </w:rPr>
            </w:r>
            <w:r w:rsidRPr="00D926EE">
              <w:rPr>
                <w:b/>
                <w:bCs/>
                <w:noProof/>
                <w:szCs w:val="20"/>
                <w:highlight w:val="lightGray"/>
              </w:rPr>
              <w:fldChar w:fldCharType="separate"/>
            </w:r>
            <w:r w:rsidRPr="00D926EE">
              <w:rPr>
                <w:b/>
                <w:bCs/>
                <w:noProof/>
                <w:szCs w:val="20"/>
                <w:highlight w:val="lightGray"/>
              </w:rPr>
              <w:t> </w:t>
            </w:r>
            <w:r w:rsidRPr="00D926EE">
              <w:rPr>
                <w:b/>
                <w:bCs/>
                <w:noProof/>
                <w:szCs w:val="20"/>
                <w:highlight w:val="lightGray"/>
              </w:rPr>
              <w:t> </w:t>
            </w:r>
            <w:r w:rsidRPr="00D926EE">
              <w:rPr>
                <w:b/>
                <w:bCs/>
                <w:noProof/>
                <w:szCs w:val="20"/>
                <w:highlight w:val="lightGray"/>
              </w:rPr>
              <w:t> </w:t>
            </w:r>
            <w:r w:rsidRPr="00D926EE">
              <w:rPr>
                <w:b/>
                <w:bCs/>
                <w:noProof/>
                <w:szCs w:val="20"/>
                <w:highlight w:val="lightGray"/>
              </w:rPr>
              <w:t> </w:t>
            </w:r>
            <w:r w:rsidRPr="00D926EE">
              <w:rPr>
                <w:b/>
                <w:bCs/>
                <w:noProof/>
                <w:szCs w:val="20"/>
                <w:highlight w:val="lightGray"/>
              </w:rPr>
              <w:t> </w:t>
            </w:r>
            <w:r w:rsidRPr="00D926EE">
              <w:rPr>
                <w:b/>
                <w:bCs/>
                <w:noProof/>
                <w:szCs w:val="20"/>
                <w:highlight w:val="lightGray"/>
              </w:rPr>
              <w:fldChar w:fldCharType="end"/>
            </w:r>
          </w:p>
        </w:tc>
        <w:tc>
          <w:tcPr>
            <w:tcW w:w="593" w:type="pct"/>
          </w:tcPr>
          <w:p w14:paraId="4918DA83" w14:textId="77777777" w:rsidR="00777D3A" w:rsidRPr="00D926EE" w:rsidRDefault="00777D3A" w:rsidP="0013063E">
            <w:pPr>
              <w:pStyle w:val="BodyText"/>
              <w:keepNext/>
              <w:spacing w:after="0"/>
              <w:ind w:right="198"/>
              <w:jc w:val="right"/>
              <w:cnfStyle w:val="000000000000" w:firstRow="0" w:lastRow="0" w:firstColumn="0" w:lastColumn="0" w:oddVBand="0" w:evenVBand="0" w:oddHBand="0" w:evenHBand="0" w:firstRowFirstColumn="0" w:firstRowLastColumn="0" w:lastRowFirstColumn="0" w:lastRowLastColumn="0"/>
              <w:rPr>
                <w:b/>
                <w:bCs/>
                <w:noProof/>
                <w:szCs w:val="20"/>
                <w:highlight w:val="lightGray"/>
              </w:rPr>
            </w:pPr>
            <w:r w:rsidRPr="00D926EE">
              <w:rPr>
                <w:b/>
                <w:bCs/>
                <w:noProof/>
                <w:szCs w:val="20"/>
                <w:highlight w:val="lightGray"/>
              </w:rPr>
              <w:fldChar w:fldCharType="begin">
                <w:ffData>
                  <w:name w:val="Text27"/>
                  <w:enabled/>
                  <w:calcOnExit w:val="0"/>
                  <w:textInput/>
                </w:ffData>
              </w:fldChar>
            </w:r>
            <w:r w:rsidRPr="00D926EE">
              <w:rPr>
                <w:b/>
                <w:bCs/>
                <w:noProof/>
                <w:szCs w:val="20"/>
                <w:highlight w:val="lightGray"/>
              </w:rPr>
              <w:instrText xml:space="preserve"> FORMTEXT </w:instrText>
            </w:r>
            <w:r w:rsidRPr="00D926EE">
              <w:rPr>
                <w:b/>
                <w:bCs/>
                <w:noProof/>
                <w:szCs w:val="20"/>
                <w:highlight w:val="lightGray"/>
              </w:rPr>
            </w:r>
            <w:r w:rsidRPr="00D926EE">
              <w:rPr>
                <w:b/>
                <w:bCs/>
                <w:noProof/>
                <w:szCs w:val="20"/>
                <w:highlight w:val="lightGray"/>
              </w:rPr>
              <w:fldChar w:fldCharType="separate"/>
            </w:r>
            <w:r w:rsidRPr="00D926EE">
              <w:rPr>
                <w:b/>
                <w:bCs/>
                <w:noProof/>
                <w:szCs w:val="20"/>
                <w:highlight w:val="lightGray"/>
              </w:rPr>
              <w:t> </w:t>
            </w:r>
            <w:r w:rsidRPr="00D926EE">
              <w:rPr>
                <w:b/>
                <w:bCs/>
                <w:noProof/>
                <w:szCs w:val="20"/>
                <w:highlight w:val="lightGray"/>
              </w:rPr>
              <w:t> </w:t>
            </w:r>
            <w:r w:rsidRPr="00D926EE">
              <w:rPr>
                <w:b/>
                <w:bCs/>
                <w:noProof/>
                <w:szCs w:val="20"/>
                <w:highlight w:val="lightGray"/>
              </w:rPr>
              <w:t> </w:t>
            </w:r>
            <w:r w:rsidRPr="00D926EE">
              <w:rPr>
                <w:b/>
                <w:bCs/>
                <w:noProof/>
                <w:szCs w:val="20"/>
                <w:highlight w:val="lightGray"/>
              </w:rPr>
              <w:t> </w:t>
            </w:r>
            <w:r w:rsidRPr="00D926EE">
              <w:rPr>
                <w:b/>
                <w:bCs/>
                <w:noProof/>
                <w:szCs w:val="20"/>
                <w:highlight w:val="lightGray"/>
              </w:rPr>
              <w:t> </w:t>
            </w:r>
            <w:r w:rsidRPr="00D926EE">
              <w:rPr>
                <w:b/>
                <w:bCs/>
                <w:noProof/>
                <w:szCs w:val="20"/>
                <w:highlight w:val="lightGray"/>
              </w:rPr>
              <w:fldChar w:fldCharType="end"/>
            </w:r>
          </w:p>
        </w:tc>
        <w:tc>
          <w:tcPr>
            <w:cnfStyle w:val="000100000000" w:firstRow="0" w:lastRow="0" w:firstColumn="0" w:lastColumn="1" w:oddVBand="0" w:evenVBand="0" w:oddHBand="0" w:evenHBand="0" w:firstRowFirstColumn="0" w:firstRowLastColumn="0" w:lastRowFirstColumn="0" w:lastRowLastColumn="0"/>
            <w:tcW w:w="753" w:type="pct"/>
          </w:tcPr>
          <w:p w14:paraId="59839CF2" w14:textId="77777777" w:rsidR="00777D3A" w:rsidRPr="00D926EE" w:rsidRDefault="00777D3A" w:rsidP="0013063E">
            <w:pPr>
              <w:pStyle w:val="BodyText"/>
              <w:keepNext/>
              <w:spacing w:after="0"/>
              <w:ind w:right="198"/>
              <w:jc w:val="right"/>
              <w:rPr>
                <w:b w:val="0"/>
                <w:bCs w:val="0"/>
                <w:noProof/>
                <w:szCs w:val="20"/>
                <w:highlight w:val="lightGray"/>
              </w:rPr>
            </w:pPr>
            <w:r w:rsidRPr="00D926EE">
              <w:rPr>
                <w:noProof/>
                <w:szCs w:val="20"/>
                <w:highlight w:val="lightGray"/>
              </w:rPr>
              <w:fldChar w:fldCharType="begin">
                <w:ffData>
                  <w:name w:val="Text27"/>
                  <w:enabled/>
                  <w:calcOnExit w:val="0"/>
                  <w:textInput/>
                </w:ffData>
              </w:fldChar>
            </w:r>
            <w:r w:rsidRPr="00D926EE">
              <w:rPr>
                <w:b w:val="0"/>
                <w:bCs w:val="0"/>
                <w:noProof/>
                <w:szCs w:val="20"/>
                <w:highlight w:val="lightGray"/>
              </w:rPr>
              <w:instrText xml:space="preserve"> FORMTEXT </w:instrText>
            </w:r>
            <w:r w:rsidRPr="00D926EE">
              <w:rPr>
                <w:noProof/>
                <w:szCs w:val="20"/>
                <w:highlight w:val="lightGray"/>
              </w:rPr>
            </w:r>
            <w:r w:rsidRPr="00D926EE">
              <w:rPr>
                <w:noProof/>
                <w:szCs w:val="20"/>
                <w:highlight w:val="lightGray"/>
              </w:rPr>
              <w:fldChar w:fldCharType="separate"/>
            </w:r>
            <w:r w:rsidRPr="00D926EE">
              <w:rPr>
                <w:b w:val="0"/>
                <w:bCs w:val="0"/>
                <w:noProof/>
                <w:szCs w:val="20"/>
                <w:highlight w:val="lightGray"/>
              </w:rPr>
              <w:t> </w:t>
            </w:r>
            <w:r w:rsidRPr="00D926EE">
              <w:rPr>
                <w:b w:val="0"/>
                <w:bCs w:val="0"/>
                <w:noProof/>
                <w:szCs w:val="20"/>
                <w:highlight w:val="lightGray"/>
              </w:rPr>
              <w:t> </w:t>
            </w:r>
            <w:r w:rsidRPr="00D926EE">
              <w:rPr>
                <w:b w:val="0"/>
                <w:bCs w:val="0"/>
                <w:noProof/>
                <w:szCs w:val="20"/>
                <w:highlight w:val="lightGray"/>
              </w:rPr>
              <w:t> </w:t>
            </w:r>
            <w:r w:rsidRPr="00D926EE">
              <w:rPr>
                <w:b w:val="0"/>
                <w:bCs w:val="0"/>
                <w:noProof/>
                <w:szCs w:val="20"/>
                <w:highlight w:val="lightGray"/>
              </w:rPr>
              <w:t> </w:t>
            </w:r>
            <w:r w:rsidRPr="00D926EE">
              <w:rPr>
                <w:b w:val="0"/>
                <w:bCs w:val="0"/>
                <w:noProof/>
                <w:szCs w:val="20"/>
                <w:highlight w:val="lightGray"/>
              </w:rPr>
              <w:t> </w:t>
            </w:r>
            <w:r w:rsidRPr="00D926EE">
              <w:rPr>
                <w:noProof/>
                <w:szCs w:val="20"/>
                <w:highlight w:val="lightGray"/>
              </w:rPr>
              <w:fldChar w:fldCharType="end"/>
            </w:r>
          </w:p>
        </w:tc>
      </w:tr>
      <w:tr w:rsidR="00777D3A" w:rsidRPr="00D926EE" w14:paraId="01982B16" w14:textId="77777777" w:rsidTr="00777D3A">
        <w:tc>
          <w:tcPr>
            <w:cnfStyle w:val="001000000000" w:firstRow="0" w:lastRow="0" w:firstColumn="1" w:lastColumn="0" w:oddVBand="0" w:evenVBand="0" w:oddHBand="0" w:evenHBand="0" w:firstRowFirstColumn="0" w:firstRowLastColumn="0" w:lastRowFirstColumn="0" w:lastRowLastColumn="0"/>
            <w:tcW w:w="1253" w:type="pct"/>
          </w:tcPr>
          <w:p w14:paraId="1BD0EE4C" w14:textId="77777777" w:rsidR="00777D3A" w:rsidRPr="00D926EE" w:rsidRDefault="00777D3A" w:rsidP="0013063E">
            <w:pPr>
              <w:pStyle w:val="BodyText"/>
              <w:keepNext/>
              <w:spacing w:after="0"/>
              <w:rPr>
                <w:szCs w:val="20"/>
                <w:highlight w:val="lightGray"/>
                <w:lang w:eastAsia="en-NZ"/>
              </w:rPr>
            </w:pPr>
            <w:r w:rsidRPr="00D926EE">
              <w:rPr>
                <w:szCs w:val="20"/>
                <w:highlight w:val="lightGray"/>
                <w:lang w:eastAsia="en-NZ"/>
              </w:rPr>
              <w:fldChar w:fldCharType="begin">
                <w:ffData>
                  <w:name w:val="Text28"/>
                  <w:enabled/>
                  <w:calcOnExit w:val="0"/>
                  <w:textInput/>
                </w:ffData>
              </w:fldChar>
            </w:r>
            <w:r w:rsidRPr="00D926EE">
              <w:rPr>
                <w:szCs w:val="20"/>
                <w:highlight w:val="lightGray"/>
                <w:lang w:eastAsia="en-NZ"/>
              </w:rPr>
              <w:instrText xml:space="preserve"> FORMTEXT </w:instrText>
            </w:r>
            <w:r w:rsidRPr="00D926EE">
              <w:rPr>
                <w:szCs w:val="20"/>
                <w:highlight w:val="lightGray"/>
                <w:lang w:eastAsia="en-NZ"/>
              </w:rPr>
            </w:r>
            <w:r w:rsidRPr="00D926EE">
              <w:rPr>
                <w:szCs w:val="20"/>
                <w:highlight w:val="lightGray"/>
                <w:lang w:eastAsia="en-NZ"/>
              </w:rPr>
              <w:fldChar w:fldCharType="separate"/>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fldChar w:fldCharType="end"/>
            </w:r>
          </w:p>
        </w:tc>
        <w:tc>
          <w:tcPr>
            <w:tcW w:w="1666" w:type="pct"/>
          </w:tcPr>
          <w:p w14:paraId="3952A224" w14:textId="77777777" w:rsidR="00777D3A" w:rsidRPr="00D926EE" w:rsidRDefault="00777D3A" w:rsidP="0013063E">
            <w:pPr>
              <w:pStyle w:val="BodyText"/>
              <w:keepNext/>
              <w:spacing w:after="0"/>
              <w:cnfStyle w:val="000000000000" w:firstRow="0" w:lastRow="0" w:firstColumn="0" w:lastColumn="0" w:oddVBand="0" w:evenVBand="0" w:oddHBand="0" w:evenHBand="0" w:firstRowFirstColumn="0" w:firstRowLastColumn="0" w:lastRowFirstColumn="0" w:lastRowLastColumn="0"/>
              <w:rPr>
                <w:szCs w:val="20"/>
                <w:highlight w:val="lightGray"/>
                <w:lang w:eastAsia="en-NZ"/>
              </w:rPr>
            </w:pPr>
            <w:r w:rsidRPr="00D926EE">
              <w:rPr>
                <w:szCs w:val="20"/>
                <w:highlight w:val="lightGray"/>
                <w:lang w:eastAsia="en-NZ"/>
              </w:rPr>
              <w:fldChar w:fldCharType="begin">
                <w:ffData>
                  <w:name w:val="Text30"/>
                  <w:enabled/>
                  <w:calcOnExit w:val="0"/>
                  <w:textInput/>
                </w:ffData>
              </w:fldChar>
            </w:r>
            <w:r w:rsidRPr="00D926EE">
              <w:rPr>
                <w:szCs w:val="20"/>
                <w:highlight w:val="lightGray"/>
                <w:lang w:eastAsia="en-NZ"/>
              </w:rPr>
              <w:instrText xml:space="preserve"> FORMTEXT </w:instrText>
            </w:r>
            <w:r w:rsidRPr="00D926EE">
              <w:rPr>
                <w:szCs w:val="20"/>
                <w:highlight w:val="lightGray"/>
                <w:lang w:eastAsia="en-NZ"/>
              </w:rPr>
            </w:r>
            <w:r w:rsidRPr="00D926EE">
              <w:rPr>
                <w:szCs w:val="20"/>
                <w:highlight w:val="lightGray"/>
                <w:lang w:eastAsia="en-NZ"/>
              </w:rPr>
              <w:fldChar w:fldCharType="separate"/>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fldChar w:fldCharType="end"/>
            </w:r>
          </w:p>
        </w:tc>
        <w:tc>
          <w:tcPr>
            <w:tcW w:w="123" w:type="pct"/>
          </w:tcPr>
          <w:p w14:paraId="32231253" w14:textId="77777777" w:rsidR="00777D3A" w:rsidRPr="00D926EE" w:rsidRDefault="00777D3A" w:rsidP="0013063E">
            <w:pPr>
              <w:cnfStyle w:val="000000000000" w:firstRow="0" w:lastRow="0" w:firstColumn="0" w:lastColumn="0" w:oddVBand="0" w:evenVBand="0" w:oddHBand="0" w:evenHBand="0" w:firstRowFirstColumn="0" w:firstRowLastColumn="0" w:lastRowFirstColumn="0" w:lastRowLastColumn="0"/>
              <w:rPr>
                <w:highlight w:val="lightGray"/>
              </w:rPr>
            </w:pPr>
          </w:p>
        </w:tc>
        <w:tc>
          <w:tcPr>
            <w:tcW w:w="613" w:type="pct"/>
          </w:tcPr>
          <w:p w14:paraId="0682CC6D" w14:textId="77777777" w:rsidR="00777D3A" w:rsidRPr="00D926EE" w:rsidRDefault="00777D3A" w:rsidP="0013063E">
            <w:pPr>
              <w:pStyle w:val="BodyText"/>
              <w:keepNext/>
              <w:spacing w:after="0"/>
              <w:ind w:right="198"/>
              <w:jc w:val="right"/>
              <w:cnfStyle w:val="000000000000" w:firstRow="0" w:lastRow="0" w:firstColumn="0" w:lastColumn="0" w:oddVBand="0" w:evenVBand="0" w:oddHBand="0" w:evenHBand="0" w:firstRowFirstColumn="0" w:firstRowLastColumn="0" w:lastRowFirstColumn="0" w:lastRowLastColumn="0"/>
              <w:rPr>
                <w:b/>
                <w:bCs/>
                <w:noProof/>
                <w:szCs w:val="20"/>
                <w:highlight w:val="lightGray"/>
              </w:rPr>
            </w:pPr>
            <w:r w:rsidRPr="00D926EE">
              <w:rPr>
                <w:b/>
                <w:bCs/>
                <w:noProof/>
                <w:szCs w:val="20"/>
                <w:highlight w:val="lightGray"/>
              </w:rPr>
              <w:fldChar w:fldCharType="begin">
                <w:ffData>
                  <w:name w:val="Text30"/>
                  <w:enabled/>
                  <w:calcOnExit w:val="0"/>
                  <w:textInput/>
                </w:ffData>
              </w:fldChar>
            </w:r>
            <w:r w:rsidRPr="00D926EE">
              <w:rPr>
                <w:b/>
                <w:bCs/>
                <w:noProof/>
                <w:szCs w:val="20"/>
                <w:highlight w:val="lightGray"/>
              </w:rPr>
              <w:instrText xml:space="preserve"> FORMTEXT </w:instrText>
            </w:r>
            <w:r w:rsidRPr="00D926EE">
              <w:rPr>
                <w:b/>
                <w:bCs/>
                <w:noProof/>
                <w:szCs w:val="20"/>
                <w:highlight w:val="lightGray"/>
              </w:rPr>
            </w:r>
            <w:r w:rsidRPr="00D926EE">
              <w:rPr>
                <w:b/>
                <w:bCs/>
                <w:noProof/>
                <w:szCs w:val="20"/>
                <w:highlight w:val="lightGray"/>
              </w:rPr>
              <w:fldChar w:fldCharType="separate"/>
            </w:r>
            <w:r w:rsidRPr="00D926EE">
              <w:rPr>
                <w:b/>
                <w:bCs/>
                <w:noProof/>
                <w:szCs w:val="20"/>
                <w:highlight w:val="lightGray"/>
              </w:rPr>
              <w:t> </w:t>
            </w:r>
            <w:r w:rsidRPr="00D926EE">
              <w:rPr>
                <w:b/>
                <w:bCs/>
                <w:noProof/>
                <w:szCs w:val="20"/>
                <w:highlight w:val="lightGray"/>
              </w:rPr>
              <w:t> </w:t>
            </w:r>
            <w:r w:rsidRPr="00D926EE">
              <w:rPr>
                <w:b/>
                <w:bCs/>
                <w:noProof/>
                <w:szCs w:val="20"/>
                <w:highlight w:val="lightGray"/>
              </w:rPr>
              <w:t> </w:t>
            </w:r>
            <w:r w:rsidRPr="00D926EE">
              <w:rPr>
                <w:b/>
                <w:bCs/>
                <w:noProof/>
                <w:szCs w:val="20"/>
                <w:highlight w:val="lightGray"/>
              </w:rPr>
              <w:t> </w:t>
            </w:r>
            <w:r w:rsidRPr="00D926EE">
              <w:rPr>
                <w:b/>
                <w:bCs/>
                <w:noProof/>
                <w:szCs w:val="20"/>
                <w:highlight w:val="lightGray"/>
              </w:rPr>
              <w:t> </w:t>
            </w:r>
            <w:r w:rsidRPr="00D926EE">
              <w:rPr>
                <w:b/>
                <w:bCs/>
                <w:noProof/>
                <w:szCs w:val="20"/>
                <w:highlight w:val="lightGray"/>
              </w:rPr>
              <w:fldChar w:fldCharType="end"/>
            </w:r>
          </w:p>
        </w:tc>
        <w:tc>
          <w:tcPr>
            <w:tcW w:w="593" w:type="pct"/>
          </w:tcPr>
          <w:p w14:paraId="62E93601" w14:textId="77777777" w:rsidR="00777D3A" w:rsidRPr="00D926EE" w:rsidRDefault="00777D3A" w:rsidP="0013063E">
            <w:pPr>
              <w:pStyle w:val="BodyText"/>
              <w:keepNext/>
              <w:spacing w:after="0"/>
              <w:ind w:right="198"/>
              <w:jc w:val="right"/>
              <w:cnfStyle w:val="000000000000" w:firstRow="0" w:lastRow="0" w:firstColumn="0" w:lastColumn="0" w:oddVBand="0" w:evenVBand="0" w:oddHBand="0" w:evenHBand="0" w:firstRowFirstColumn="0" w:firstRowLastColumn="0" w:lastRowFirstColumn="0" w:lastRowLastColumn="0"/>
              <w:rPr>
                <w:b/>
                <w:bCs/>
                <w:noProof/>
                <w:szCs w:val="20"/>
                <w:highlight w:val="lightGray"/>
              </w:rPr>
            </w:pPr>
            <w:r w:rsidRPr="00D926EE">
              <w:rPr>
                <w:b/>
                <w:bCs/>
                <w:noProof/>
                <w:szCs w:val="20"/>
                <w:highlight w:val="lightGray"/>
              </w:rPr>
              <w:fldChar w:fldCharType="begin">
                <w:ffData>
                  <w:name w:val="Text30"/>
                  <w:enabled/>
                  <w:calcOnExit w:val="0"/>
                  <w:textInput/>
                </w:ffData>
              </w:fldChar>
            </w:r>
            <w:r w:rsidRPr="00D926EE">
              <w:rPr>
                <w:b/>
                <w:bCs/>
                <w:noProof/>
                <w:szCs w:val="20"/>
                <w:highlight w:val="lightGray"/>
              </w:rPr>
              <w:instrText xml:space="preserve"> FORMTEXT </w:instrText>
            </w:r>
            <w:r w:rsidRPr="00D926EE">
              <w:rPr>
                <w:b/>
                <w:bCs/>
                <w:noProof/>
                <w:szCs w:val="20"/>
                <w:highlight w:val="lightGray"/>
              </w:rPr>
            </w:r>
            <w:r w:rsidRPr="00D926EE">
              <w:rPr>
                <w:b/>
                <w:bCs/>
                <w:noProof/>
                <w:szCs w:val="20"/>
                <w:highlight w:val="lightGray"/>
              </w:rPr>
              <w:fldChar w:fldCharType="separate"/>
            </w:r>
            <w:r w:rsidRPr="00D926EE">
              <w:rPr>
                <w:b/>
                <w:bCs/>
                <w:noProof/>
                <w:szCs w:val="20"/>
                <w:highlight w:val="lightGray"/>
              </w:rPr>
              <w:t> </w:t>
            </w:r>
            <w:r w:rsidRPr="00D926EE">
              <w:rPr>
                <w:b/>
                <w:bCs/>
                <w:noProof/>
                <w:szCs w:val="20"/>
                <w:highlight w:val="lightGray"/>
              </w:rPr>
              <w:t> </w:t>
            </w:r>
            <w:r w:rsidRPr="00D926EE">
              <w:rPr>
                <w:b/>
                <w:bCs/>
                <w:noProof/>
                <w:szCs w:val="20"/>
                <w:highlight w:val="lightGray"/>
              </w:rPr>
              <w:t> </w:t>
            </w:r>
            <w:r w:rsidRPr="00D926EE">
              <w:rPr>
                <w:b/>
                <w:bCs/>
                <w:noProof/>
                <w:szCs w:val="20"/>
                <w:highlight w:val="lightGray"/>
              </w:rPr>
              <w:t> </w:t>
            </w:r>
            <w:r w:rsidRPr="00D926EE">
              <w:rPr>
                <w:b/>
                <w:bCs/>
                <w:noProof/>
                <w:szCs w:val="20"/>
                <w:highlight w:val="lightGray"/>
              </w:rPr>
              <w:t> </w:t>
            </w:r>
            <w:r w:rsidRPr="00D926EE">
              <w:rPr>
                <w:b/>
                <w:bCs/>
                <w:noProof/>
                <w:szCs w:val="20"/>
                <w:highlight w:val="lightGray"/>
              </w:rPr>
              <w:fldChar w:fldCharType="end"/>
            </w:r>
          </w:p>
        </w:tc>
        <w:tc>
          <w:tcPr>
            <w:cnfStyle w:val="000100000000" w:firstRow="0" w:lastRow="0" w:firstColumn="0" w:lastColumn="1" w:oddVBand="0" w:evenVBand="0" w:oddHBand="0" w:evenHBand="0" w:firstRowFirstColumn="0" w:firstRowLastColumn="0" w:lastRowFirstColumn="0" w:lastRowLastColumn="0"/>
            <w:tcW w:w="753" w:type="pct"/>
          </w:tcPr>
          <w:p w14:paraId="27C9BE59" w14:textId="77777777" w:rsidR="00777D3A" w:rsidRPr="00D926EE" w:rsidRDefault="00777D3A" w:rsidP="0013063E">
            <w:pPr>
              <w:pStyle w:val="BodyText"/>
              <w:keepNext/>
              <w:spacing w:after="0"/>
              <w:ind w:right="198"/>
              <w:jc w:val="right"/>
              <w:rPr>
                <w:b w:val="0"/>
                <w:bCs w:val="0"/>
                <w:noProof/>
                <w:szCs w:val="20"/>
                <w:highlight w:val="lightGray"/>
              </w:rPr>
            </w:pPr>
            <w:r w:rsidRPr="00D926EE">
              <w:rPr>
                <w:noProof/>
                <w:szCs w:val="20"/>
                <w:highlight w:val="lightGray"/>
              </w:rPr>
              <w:fldChar w:fldCharType="begin">
                <w:ffData>
                  <w:name w:val="Text30"/>
                  <w:enabled/>
                  <w:calcOnExit w:val="0"/>
                  <w:textInput/>
                </w:ffData>
              </w:fldChar>
            </w:r>
            <w:r w:rsidRPr="00D926EE">
              <w:rPr>
                <w:b w:val="0"/>
                <w:bCs w:val="0"/>
                <w:noProof/>
                <w:szCs w:val="20"/>
                <w:highlight w:val="lightGray"/>
              </w:rPr>
              <w:instrText xml:space="preserve"> FORMTEXT </w:instrText>
            </w:r>
            <w:r w:rsidRPr="00D926EE">
              <w:rPr>
                <w:noProof/>
                <w:szCs w:val="20"/>
                <w:highlight w:val="lightGray"/>
              </w:rPr>
            </w:r>
            <w:r w:rsidRPr="00D926EE">
              <w:rPr>
                <w:noProof/>
                <w:szCs w:val="20"/>
                <w:highlight w:val="lightGray"/>
              </w:rPr>
              <w:fldChar w:fldCharType="separate"/>
            </w:r>
            <w:r w:rsidRPr="00D926EE">
              <w:rPr>
                <w:b w:val="0"/>
                <w:bCs w:val="0"/>
                <w:noProof/>
                <w:szCs w:val="20"/>
                <w:highlight w:val="lightGray"/>
              </w:rPr>
              <w:t> </w:t>
            </w:r>
            <w:r w:rsidRPr="00D926EE">
              <w:rPr>
                <w:b w:val="0"/>
                <w:bCs w:val="0"/>
                <w:noProof/>
                <w:szCs w:val="20"/>
                <w:highlight w:val="lightGray"/>
              </w:rPr>
              <w:t> </w:t>
            </w:r>
            <w:r w:rsidRPr="00D926EE">
              <w:rPr>
                <w:b w:val="0"/>
                <w:bCs w:val="0"/>
                <w:noProof/>
                <w:szCs w:val="20"/>
                <w:highlight w:val="lightGray"/>
              </w:rPr>
              <w:t> </w:t>
            </w:r>
            <w:r w:rsidRPr="00D926EE">
              <w:rPr>
                <w:b w:val="0"/>
                <w:bCs w:val="0"/>
                <w:noProof/>
                <w:szCs w:val="20"/>
                <w:highlight w:val="lightGray"/>
              </w:rPr>
              <w:t> </w:t>
            </w:r>
            <w:r w:rsidRPr="00D926EE">
              <w:rPr>
                <w:b w:val="0"/>
                <w:bCs w:val="0"/>
                <w:noProof/>
                <w:szCs w:val="20"/>
                <w:highlight w:val="lightGray"/>
              </w:rPr>
              <w:t> </w:t>
            </w:r>
            <w:r w:rsidRPr="00D926EE">
              <w:rPr>
                <w:noProof/>
                <w:szCs w:val="20"/>
                <w:highlight w:val="lightGray"/>
              </w:rPr>
              <w:fldChar w:fldCharType="end"/>
            </w:r>
          </w:p>
        </w:tc>
      </w:tr>
      <w:tr w:rsidR="00777D3A" w:rsidRPr="00D926EE" w14:paraId="2A81420F" w14:textId="77777777" w:rsidTr="00777D3A">
        <w:tc>
          <w:tcPr>
            <w:cnfStyle w:val="001000000000" w:firstRow="0" w:lastRow="0" w:firstColumn="1" w:lastColumn="0" w:oddVBand="0" w:evenVBand="0" w:oddHBand="0" w:evenHBand="0" w:firstRowFirstColumn="0" w:firstRowLastColumn="0" w:lastRowFirstColumn="0" w:lastRowLastColumn="0"/>
            <w:tcW w:w="1253" w:type="pct"/>
          </w:tcPr>
          <w:p w14:paraId="45B99ACC" w14:textId="77777777" w:rsidR="00777D3A" w:rsidRPr="00D926EE" w:rsidRDefault="00777D3A" w:rsidP="0013063E">
            <w:pPr>
              <w:pStyle w:val="BodyText"/>
              <w:keepNext/>
              <w:spacing w:after="0"/>
              <w:rPr>
                <w:szCs w:val="20"/>
                <w:highlight w:val="lightGray"/>
                <w:lang w:eastAsia="en-NZ"/>
              </w:rPr>
            </w:pPr>
            <w:r w:rsidRPr="00D926EE">
              <w:rPr>
                <w:szCs w:val="20"/>
                <w:highlight w:val="lightGray"/>
                <w:lang w:eastAsia="en-NZ"/>
              </w:rPr>
              <w:fldChar w:fldCharType="begin">
                <w:ffData>
                  <w:name w:val="Text31"/>
                  <w:enabled/>
                  <w:calcOnExit w:val="0"/>
                  <w:textInput/>
                </w:ffData>
              </w:fldChar>
            </w:r>
            <w:r w:rsidRPr="00D926EE">
              <w:rPr>
                <w:szCs w:val="20"/>
                <w:highlight w:val="lightGray"/>
                <w:lang w:eastAsia="en-NZ"/>
              </w:rPr>
              <w:instrText xml:space="preserve"> FORMTEXT </w:instrText>
            </w:r>
            <w:r w:rsidRPr="00D926EE">
              <w:rPr>
                <w:szCs w:val="20"/>
                <w:highlight w:val="lightGray"/>
                <w:lang w:eastAsia="en-NZ"/>
              </w:rPr>
            </w:r>
            <w:r w:rsidRPr="00D926EE">
              <w:rPr>
                <w:szCs w:val="20"/>
                <w:highlight w:val="lightGray"/>
                <w:lang w:eastAsia="en-NZ"/>
              </w:rPr>
              <w:fldChar w:fldCharType="separate"/>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fldChar w:fldCharType="end"/>
            </w:r>
          </w:p>
        </w:tc>
        <w:tc>
          <w:tcPr>
            <w:tcW w:w="1666" w:type="pct"/>
          </w:tcPr>
          <w:p w14:paraId="7C74599A" w14:textId="77777777" w:rsidR="00777D3A" w:rsidRPr="00D926EE" w:rsidRDefault="00777D3A" w:rsidP="0013063E">
            <w:pPr>
              <w:pStyle w:val="BodyText"/>
              <w:keepNext/>
              <w:spacing w:after="0"/>
              <w:cnfStyle w:val="000000000000" w:firstRow="0" w:lastRow="0" w:firstColumn="0" w:lastColumn="0" w:oddVBand="0" w:evenVBand="0" w:oddHBand="0" w:evenHBand="0" w:firstRowFirstColumn="0" w:firstRowLastColumn="0" w:lastRowFirstColumn="0" w:lastRowLastColumn="0"/>
              <w:rPr>
                <w:szCs w:val="20"/>
                <w:highlight w:val="lightGray"/>
                <w:lang w:eastAsia="en-NZ"/>
              </w:rPr>
            </w:pPr>
            <w:r w:rsidRPr="00D926EE">
              <w:rPr>
                <w:szCs w:val="20"/>
                <w:highlight w:val="lightGray"/>
                <w:lang w:eastAsia="en-NZ"/>
              </w:rPr>
              <w:fldChar w:fldCharType="begin">
                <w:ffData>
                  <w:name w:val="Text32"/>
                  <w:enabled/>
                  <w:calcOnExit w:val="0"/>
                  <w:textInput/>
                </w:ffData>
              </w:fldChar>
            </w:r>
            <w:r w:rsidRPr="00D926EE">
              <w:rPr>
                <w:szCs w:val="20"/>
                <w:highlight w:val="lightGray"/>
                <w:lang w:eastAsia="en-NZ"/>
              </w:rPr>
              <w:instrText xml:space="preserve"> FORMTEXT </w:instrText>
            </w:r>
            <w:r w:rsidRPr="00D926EE">
              <w:rPr>
                <w:szCs w:val="20"/>
                <w:highlight w:val="lightGray"/>
                <w:lang w:eastAsia="en-NZ"/>
              </w:rPr>
            </w:r>
            <w:r w:rsidRPr="00D926EE">
              <w:rPr>
                <w:szCs w:val="20"/>
                <w:highlight w:val="lightGray"/>
                <w:lang w:eastAsia="en-NZ"/>
              </w:rPr>
              <w:fldChar w:fldCharType="separate"/>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fldChar w:fldCharType="end"/>
            </w:r>
          </w:p>
        </w:tc>
        <w:tc>
          <w:tcPr>
            <w:tcW w:w="123" w:type="pct"/>
          </w:tcPr>
          <w:p w14:paraId="169E57EB" w14:textId="77777777" w:rsidR="00777D3A" w:rsidRPr="00D926EE" w:rsidRDefault="00777D3A" w:rsidP="0013063E">
            <w:pPr>
              <w:cnfStyle w:val="000000000000" w:firstRow="0" w:lastRow="0" w:firstColumn="0" w:lastColumn="0" w:oddVBand="0" w:evenVBand="0" w:oddHBand="0" w:evenHBand="0" w:firstRowFirstColumn="0" w:firstRowLastColumn="0" w:lastRowFirstColumn="0" w:lastRowLastColumn="0"/>
              <w:rPr>
                <w:highlight w:val="lightGray"/>
              </w:rPr>
            </w:pPr>
          </w:p>
        </w:tc>
        <w:tc>
          <w:tcPr>
            <w:tcW w:w="613" w:type="pct"/>
          </w:tcPr>
          <w:p w14:paraId="539F864C" w14:textId="77777777" w:rsidR="00777D3A" w:rsidRPr="00D926EE" w:rsidRDefault="00777D3A" w:rsidP="0013063E">
            <w:pPr>
              <w:pStyle w:val="BodyText"/>
              <w:keepNext/>
              <w:spacing w:after="0"/>
              <w:ind w:right="198"/>
              <w:jc w:val="right"/>
              <w:cnfStyle w:val="000000000000" w:firstRow="0" w:lastRow="0" w:firstColumn="0" w:lastColumn="0" w:oddVBand="0" w:evenVBand="0" w:oddHBand="0" w:evenHBand="0" w:firstRowFirstColumn="0" w:firstRowLastColumn="0" w:lastRowFirstColumn="0" w:lastRowLastColumn="0"/>
              <w:rPr>
                <w:b/>
                <w:bCs/>
                <w:noProof/>
                <w:szCs w:val="20"/>
                <w:highlight w:val="lightGray"/>
              </w:rPr>
            </w:pPr>
            <w:r w:rsidRPr="00D926EE">
              <w:rPr>
                <w:b/>
                <w:bCs/>
                <w:noProof/>
                <w:szCs w:val="20"/>
                <w:highlight w:val="lightGray"/>
              </w:rPr>
              <w:fldChar w:fldCharType="begin">
                <w:ffData>
                  <w:name w:val="Text32"/>
                  <w:enabled/>
                  <w:calcOnExit w:val="0"/>
                  <w:textInput/>
                </w:ffData>
              </w:fldChar>
            </w:r>
            <w:r w:rsidRPr="00D926EE">
              <w:rPr>
                <w:b/>
                <w:bCs/>
                <w:noProof/>
                <w:szCs w:val="20"/>
                <w:highlight w:val="lightGray"/>
              </w:rPr>
              <w:instrText xml:space="preserve"> FORMTEXT </w:instrText>
            </w:r>
            <w:r w:rsidRPr="00D926EE">
              <w:rPr>
                <w:b/>
                <w:bCs/>
                <w:noProof/>
                <w:szCs w:val="20"/>
                <w:highlight w:val="lightGray"/>
              </w:rPr>
            </w:r>
            <w:r w:rsidRPr="00D926EE">
              <w:rPr>
                <w:b/>
                <w:bCs/>
                <w:noProof/>
                <w:szCs w:val="20"/>
                <w:highlight w:val="lightGray"/>
              </w:rPr>
              <w:fldChar w:fldCharType="separate"/>
            </w:r>
            <w:r w:rsidRPr="00D926EE">
              <w:rPr>
                <w:b/>
                <w:bCs/>
                <w:noProof/>
                <w:szCs w:val="20"/>
                <w:highlight w:val="lightGray"/>
              </w:rPr>
              <w:t> </w:t>
            </w:r>
            <w:r w:rsidRPr="00D926EE">
              <w:rPr>
                <w:b/>
                <w:bCs/>
                <w:noProof/>
                <w:szCs w:val="20"/>
                <w:highlight w:val="lightGray"/>
              </w:rPr>
              <w:t> </w:t>
            </w:r>
            <w:r w:rsidRPr="00D926EE">
              <w:rPr>
                <w:b/>
                <w:bCs/>
                <w:noProof/>
                <w:szCs w:val="20"/>
                <w:highlight w:val="lightGray"/>
              </w:rPr>
              <w:t> </w:t>
            </w:r>
            <w:r w:rsidRPr="00D926EE">
              <w:rPr>
                <w:b/>
                <w:bCs/>
                <w:noProof/>
                <w:szCs w:val="20"/>
                <w:highlight w:val="lightGray"/>
              </w:rPr>
              <w:t> </w:t>
            </w:r>
            <w:r w:rsidRPr="00D926EE">
              <w:rPr>
                <w:b/>
                <w:bCs/>
                <w:noProof/>
                <w:szCs w:val="20"/>
                <w:highlight w:val="lightGray"/>
              </w:rPr>
              <w:t> </w:t>
            </w:r>
            <w:r w:rsidRPr="00D926EE">
              <w:rPr>
                <w:b/>
                <w:bCs/>
                <w:noProof/>
                <w:szCs w:val="20"/>
                <w:highlight w:val="lightGray"/>
              </w:rPr>
              <w:fldChar w:fldCharType="end"/>
            </w:r>
          </w:p>
        </w:tc>
        <w:tc>
          <w:tcPr>
            <w:tcW w:w="593" w:type="pct"/>
          </w:tcPr>
          <w:p w14:paraId="29EFE6BB" w14:textId="77777777" w:rsidR="00777D3A" w:rsidRPr="00D926EE" w:rsidRDefault="00777D3A" w:rsidP="0013063E">
            <w:pPr>
              <w:pStyle w:val="BodyText"/>
              <w:keepNext/>
              <w:spacing w:after="0"/>
              <w:ind w:right="198"/>
              <w:jc w:val="right"/>
              <w:cnfStyle w:val="000000000000" w:firstRow="0" w:lastRow="0" w:firstColumn="0" w:lastColumn="0" w:oddVBand="0" w:evenVBand="0" w:oddHBand="0" w:evenHBand="0" w:firstRowFirstColumn="0" w:firstRowLastColumn="0" w:lastRowFirstColumn="0" w:lastRowLastColumn="0"/>
              <w:rPr>
                <w:b/>
                <w:bCs/>
                <w:noProof/>
                <w:szCs w:val="20"/>
                <w:highlight w:val="lightGray"/>
              </w:rPr>
            </w:pPr>
            <w:r w:rsidRPr="00D926EE">
              <w:rPr>
                <w:b/>
                <w:bCs/>
                <w:noProof/>
                <w:szCs w:val="20"/>
                <w:highlight w:val="lightGray"/>
              </w:rPr>
              <w:fldChar w:fldCharType="begin">
                <w:ffData>
                  <w:name w:val="Text32"/>
                  <w:enabled/>
                  <w:calcOnExit w:val="0"/>
                  <w:textInput/>
                </w:ffData>
              </w:fldChar>
            </w:r>
            <w:r w:rsidRPr="00D926EE">
              <w:rPr>
                <w:b/>
                <w:bCs/>
                <w:noProof/>
                <w:szCs w:val="20"/>
                <w:highlight w:val="lightGray"/>
              </w:rPr>
              <w:instrText xml:space="preserve"> FORMTEXT </w:instrText>
            </w:r>
            <w:r w:rsidRPr="00D926EE">
              <w:rPr>
                <w:b/>
                <w:bCs/>
                <w:noProof/>
                <w:szCs w:val="20"/>
                <w:highlight w:val="lightGray"/>
              </w:rPr>
            </w:r>
            <w:r w:rsidRPr="00D926EE">
              <w:rPr>
                <w:b/>
                <w:bCs/>
                <w:noProof/>
                <w:szCs w:val="20"/>
                <w:highlight w:val="lightGray"/>
              </w:rPr>
              <w:fldChar w:fldCharType="separate"/>
            </w:r>
            <w:r w:rsidRPr="00D926EE">
              <w:rPr>
                <w:b/>
                <w:bCs/>
                <w:noProof/>
                <w:szCs w:val="20"/>
                <w:highlight w:val="lightGray"/>
              </w:rPr>
              <w:t> </w:t>
            </w:r>
            <w:r w:rsidRPr="00D926EE">
              <w:rPr>
                <w:b/>
                <w:bCs/>
                <w:noProof/>
                <w:szCs w:val="20"/>
                <w:highlight w:val="lightGray"/>
              </w:rPr>
              <w:t> </w:t>
            </w:r>
            <w:r w:rsidRPr="00D926EE">
              <w:rPr>
                <w:b/>
                <w:bCs/>
                <w:noProof/>
                <w:szCs w:val="20"/>
                <w:highlight w:val="lightGray"/>
              </w:rPr>
              <w:t> </w:t>
            </w:r>
            <w:r w:rsidRPr="00D926EE">
              <w:rPr>
                <w:b/>
                <w:bCs/>
                <w:noProof/>
                <w:szCs w:val="20"/>
                <w:highlight w:val="lightGray"/>
              </w:rPr>
              <w:t> </w:t>
            </w:r>
            <w:r w:rsidRPr="00D926EE">
              <w:rPr>
                <w:b/>
                <w:bCs/>
                <w:noProof/>
                <w:szCs w:val="20"/>
                <w:highlight w:val="lightGray"/>
              </w:rPr>
              <w:t> </w:t>
            </w:r>
            <w:r w:rsidRPr="00D926EE">
              <w:rPr>
                <w:b/>
                <w:bCs/>
                <w:noProof/>
                <w:szCs w:val="20"/>
                <w:highlight w:val="lightGray"/>
              </w:rPr>
              <w:fldChar w:fldCharType="end"/>
            </w:r>
          </w:p>
        </w:tc>
        <w:tc>
          <w:tcPr>
            <w:cnfStyle w:val="000100000000" w:firstRow="0" w:lastRow="0" w:firstColumn="0" w:lastColumn="1" w:oddVBand="0" w:evenVBand="0" w:oddHBand="0" w:evenHBand="0" w:firstRowFirstColumn="0" w:firstRowLastColumn="0" w:lastRowFirstColumn="0" w:lastRowLastColumn="0"/>
            <w:tcW w:w="753" w:type="pct"/>
          </w:tcPr>
          <w:p w14:paraId="73735498" w14:textId="77777777" w:rsidR="00777D3A" w:rsidRPr="00D926EE" w:rsidRDefault="00777D3A" w:rsidP="0013063E">
            <w:pPr>
              <w:pStyle w:val="BodyText"/>
              <w:keepNext/>
              <w:spacing w:after="0"/>
              <w:ind w:right="198"/>
              <w:jc w:val="right"/>
              <w:rPr>
                <w:b w:val="0"/>
                <w:bCs w:val="0"/>
                <w:noProof/>
                <w:szCs w:val="20"/>
                <w:highlight w:val="lightGray"/>
              </w:rPr>
            </w:pPr>
            <w:r w:rsidRPr="00D926EE">
              <w:rPr>
                <w:noProof/>
                <w:szCs w:val="20"/>
                <w:highlight w:val="lightGray"/>
              </w:rPr>
              <w:fldChar w:fldCharType="begin">
                <w:ffData>
                  <w:name w:val="Text32"/>
                  <w:enabled/>
                  <w:calcOnExit w:val="0"/>
                  <w:textInput/>
                </w:ffData>
              </w:fldChar>
            </w:r>
            <w:r w:rsidRPr="00D926EE">
              <w:rPr>
                <w:b w:val="0"/>
                <w:bCs w:val="0"/>
                <w:noProof/>
                <w:szCs w:val="20"/>
                <w:highlight w:val="lightGray"/>
              </w:rPr>
              <w:instrText xml:space="preserve"> FORMTEXT </w:instrText>
            </w:r>
            <w:r w:rsidRPr="00D926EE">
              <w:rPr>
                <w:noProof/>
                <w:szCs w:val="20"/>
                <w:highlight w:val="lightGray"/>
              </w:rPr>
            </w:r>
            <w:r w:rsidRPr="00D926EE">
              <w:rPr>
                <w:noProof/>
                <w:szCs w:val="20"/>
                <w:highlight w:val="lightGray"/>
              </w:rPr>
              <w:fldChar w:fldCharType="separate"/>
            </w:r>
            <w:r w:rsidRPr="00D926EE">
              <w:rPr>
                <w:b w:val="0"/>
                <w:bCs w:val="0"/>
                <w:noProof/>
                <w:szCs w:val="20"/>
                <w:highlight w:val="lightGray"/>
              </w:rPr>
              <w:t> </w:t>
            </w:r>
            <w:r w:rsidRPr="00D926EE">
              <w:rPr>
                <w:b w:val="0"/>
                <w:bCs w:val="0"/>
                <w:noProof/>
                <w:szCs w:val="20"/>
                <w:highlight w:val="lightGray"/>
              </w:rPr>
              <w:t> </w:t>
            </w:r>
            <w:r w:rsidRPr="00D926EE">
              <w:rPr>
                <w:b w:val="0"/>
                <w:bCs w:val="0"/>
                <w:noProof/>
                <w:szCs w:val="20"/>
                <w:highlight w:val="lightGray"/>
              </w:rPr>
              <w:t> </w:t>
            </w:r>
            <w:r w:rsidRPr="00D926EE">
              <w:rPr>
                <w:b w:val="0"/>
                <w:bCs w:val="0"/>
                <w:noProof/>
                <w:szCs w:val="20"/>
                <w:highlight w:val="lightGray"/>
              </w:rPr>
              <w:t> </w:t>
            </w:r>
            <w:r w:rsidRPr="00D926EE">
              <w:rPr>
                <w:b w:val="0"/>
                <w:bCs w:val="0"/>
                <w:noProof/>
                <w:szCs w:val="20"/>
                <w:highlight w:val="lightGray"/>
              </w:rPr>
              <w:t> </w:t>
            </w:r>
            <w:r w:rsidRPr="00D926EE">
              <w:rPr>
                <w:noProof/>
                <w:szCs w:val="20"/>
                <w:highlight w:val="lightGray"/>
              </w:rPr>
              <w:fldChar w:fldCharType="end"/>
            </w:r>
          </w:p>
        </w:tc>
      </w:tr>
      <w:tr w:rsidR="00777D3A" w:rsidRPr="00D926EE" w14:paraId="27EDBF26" w14:textId="77777777" w:rsidTr="00777D3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pct"/>
            <w:gridSpan w:val="5"/>
          </w:tcPr>
          <w:p w14:paraId="3BCFF039" w14:textId="77777777" w:rsidR="00777D3A" w:rsidRPr="00D926EE" w:rsidRDefault="00777D3A" w:rsidP="0013063E">
            <w:r w:rsidRPr="00D926EE">
              <w:t>TOTAL EXPENSES</w:t>
            </w:r>
          </w:p>
        </w:tc>
        <w:tc>
          <w:tcPr>
            <w:cnfStyle w:val="000100000000" w:firstRow="0" w:lastRow="0" w:firstColumn="0" w:lastColumn="1" w:oddVBand="0" w:evenVBand="0" w:oddHBand="0" w:evenHBand="0" w:firstRowFirstColumn="0" w:firstRowLastColumn="0" w:lastRowFirstColumn="0" w:lastRowLastColumn="0"/>
            <w:tcW w:w="753" w:type="pct"/>
          </w:tcPr>
          <w:p w14:paraId="333F8C15" w14:textId="77777777" w:rsidR="00777D3A" w:rsidRPr="00D926EE" w:rsidRDefault="00777D3A" w:rsidP="0013063E">
            <w:pPr>
              <w:pStyle w:val="BodyText"/>
              <w:keepNext/>
              <w:spacing w:after="0"/>
              <w:ind w:right="198"/>
              <w:jc w:val="right"/>
              <w:rPr>
                <w:b w:val="0"/>
                <w:bCs w:val="0"/>
                <w:noProof/>
                <w:szCs w:val="20"/>
                <w:highlight w:val="lightGray"/>
              </w:rPr>
            </w:pPr>
            <w:r w:rsidRPr="00D926EE">
              <w:rPr>
                <w:b w:val="0"/>
                <w:bCs w:val="0"/>
                <w:noProof/>
                <w:szCs w:val="20"/>
                <w:highlight w:val="lightGray"/>
              </w:rPr>
              <w:t>NZ$</w:t>
            </w:r>
            <w:r w:rsidRPr="00D926EE">
              <w:rPr>
                <w:noProof/>
                <w:szCs w:val="20"/>
                <w:highlight w:val="lightGray"/>
              </w:rPr>
              <w:fldChar w:fldCharType="begin">
                <w:ffData>
                  <w:name w:val="Text32"/>
                  <w:enabled/>
                  <w:calcOnExit w:val="0"/>
                  <w:textInput/>
                </w:ffData>
              </w:fldChar>
            </w:r>
            <w:r w:rsidRPr="00D926EE">
              <w:rPr>
                <w:b w:val="0"/>
                <w:bCs w:val="0"/>
                <w:noProof/>
                <w:szCs w:val="20"/>
                <w:highlight w:val="lightGray"/>
              </w:rPr>
              <w:instrText xml:space="preserve"> FORMTEXT </w:instrText>
            </w:r>
            <w:r w:rsidRPr="00D926EE">
              <w:rPr>
                <w:noProof/>
                <w:szCs w:val="20"/>
                <w:highlight w:val="lightGray"/>
              </w:rPr>
            </w:r>
            <w:r w:rsidRPr="00D926EE">
              <w:rPr>
                <w:noProof/>
                <w:szCs w:val="20"/>
                <w:highlight w:val="lightGray"/>
              </w:rPr>
              <w:fldChar w:fldCharType="separate"/>
            </w:r>
            <w:r w:rsidRPr="00D926EE">
              <w:rPr>
                <w:b w:val="0"/>
                <w:bCs w:val="0"/>
                <w:noProof/>
                <w:szCs w:val="20"/>
                <w:highlight w:val="lightGray"/>
              </w:rPr>
              <w:t> </w:t>
            </w:r>
            <w:r w:rsidRPr="00D926EE">
              <w:rPr>
                <w:b w:val="0"/>
                <w:bCs w:val="0"/>
                <w:noProof/>
                <w:szCs w:val="20"/>
                <w:highlight w:val="lightGray"/>
              </w:rPr>
              <w:t> </w:t>
            </w:r>
            <w:r w:rsidRPr="00D926EE">
              <w:rPr>
                <w:b w:val="0"/>
                <w:bCs w:val="0"/>
                <w:noProof/>
                <w:szCs w:val="20"/>
                <w:highlight w:val="lightGray"/>
              </w:rPr>
              <w:t> </w:t>
            </w:r>
            <w:r w:rsidRPr="00D926EE">
              <w:rPr>
                <w:b w:val="0"/>
                <w:bCs w:val="0"/>
                <w:noProof/>
                <w:szCs w:val="20"/>
                <w:highlight w:val="lightGray"/>
              </w:rPr>
              <w:t> </w:t>
            </w:r>
            <w:r w:rsidRPr="00D926EE">
              <w:rPr>
                <w:b w:val="0"/>
                <w:bCs w:val="0"/>
                <w:noProof/>
                <w:szCs w:val="20"/>
                <w:highlight w:val="lightGray"/>
              </w:rPr>
              <w:t> </w:t>
            </w:r>
            <w:r w:rsidRPr="00D926EE">
              <w:rPr>
                <w:noProof/>
                <w:szCs w:val="20"/>
                <w:highlight w:val="lightGray"/>
              </w:rPr>
              <w:fldChar w:fldCharType="end"/>
            </w:r>
          </w:p>
        </w:tc>
      </w:tr>
    </w:tbl>
    <w:p w14:paraId="66CACD26" w14:textId="77777777" w:rsidR="00777D3A" w:rsidRPr="00777D3A" w:rsidRDefault="00777D3A" w:rsidP="00D926EE">
      <w:pPr>
        <w:pStyle w:val="Heading1"/>
      </w:pPr>
      <w:r w:rsidRPr="00777D3A">
        <w:t>Total Quote:</w:t>
      </w:r>
    </w:p>
    <w:tbl>
      <w:tblPr>
        <w:tblStyle w:val="GridTable1Light-Accent6"/>
        <w:tblW w:w="5007" w:type="pct"/>
        <w:tblLook w:val="01C0" w:firstRow="0" w:lastRow="1" w:firstColumn="1" w:lastColumn="1" w:noHBand="0" w:noVBand="0"/>
      </w:tblPr>
      <w:tblGrid>
        <w:gridCol w:w="628"/>
        <w:gridCol w:w="7000"/>
        <w:gridCol w:w="1401"/>
      </w:tblGrid>
      <w:tr w:rsidR="00777D3A" w14:paraId="3E4D7877" w14:textId="77777777" w:rsidTr="00777D3A">
        <w:tc>
          <w:tcPr>
            <w:cnfStyle w:val="001000000000" w:firstRow="0" w:lastRow="0" w:firstColumn="1" w:lastColumn="0" w:oddVBand="0" w:evenVBand="0" w:oddHBand="0" w:evenHBand="0" w:firstRowFirstColumn="0" w:firstRowLastColumn="0" w:lastRowFirstColumn="0" w:lastRowLastColumn="0"/>
            <w:tcW w:w="390" w:type="pct"/>
          </w:tcPr>
          <w:p w14:paraId="0D2D1B6D" w14:textId="77777777" w:rsidR="00777D3A" w:rsidRPr="00CC6943" w:rsidRDefault="00777D3A" w:rsidP="0013063E">
            <w:pPr>
              <w:jc w:val="center"/>
            </w:pPr>
            <w:r>
              <w:t>1</w:t>
            </w:r>
          </w:p>
        </w:tc>
        <w:tc>
          <w:tcPr>
            <w:tcW w:w="3918" w:type="pct"/>
          </w:tcPr>
          <w:p w14:paraId="1681D84D" w14:textId="77777777" w:rsidR="00777D3A" w:rsidRPr="00CC6943" w:rsidRDefault="00777D3A" w:rsidP="0013063E">
            <w:pPr>
              <w:cnfStyle w:val="000000000000" w:firstRow="0" w:lastRow="0" w:firstColumn="0" w:lastColumn="0" w:oddVBand="0" w:evenVBand="0" w:oddHBand="0" w:evenHBand="0" w:firstRowFirstColumn="0" w:firstRowLastColumn="0" w:lastRowFirstColumn="0" w:lastRowLastColumn="0"/>
            </w:pPr>
            <w:r>
              <w:t>TOTAL FEES</w:t>
            </w:r>
          </w:p>
        </w:tc>
        <w:tc>
          <w:tcPr>
            <w:cnfStyle w:val="000100000000" w:firstRow="0" w:lastRow="0" w:firstColumn="0" w:lastColumn="1" w:oddVBand="0" w:evenVBand="0" w:oddHBand="0" w:evenHBand="0" w:firstRowFirstColumn="0" w:firstRowLastColumn="0" w:lastRowFirstColumn="0" w:lastRowLastColumn="0"/>
            <w:tcW w:w="692" w:type="pct"/>
          </w:tcPr>
          <w:p w14:paraId="0E53C231" w14:textId="77777777" w:rsidR="00777D3A" w:rsidRPr="00501223" w:rsidRDefault="00777D3A" w:rsidP="0013063E">
            <w:pPr>
              <w:pStyle w:val="BodyText"/>
              <w:keepNext/>
              <w:ind w:right="198"/>
              <w:jc w:val="right"/>
              <w:rPr>
                <w:noProof/>
                <w:sz w:val="18"/>
                <w:szCs w:val="18"/>
                <w:highlight w:val="lightGray"/>
              </w:rPr>
            </w:pPr>
            <w:r w:rsidRPr="00501223">
              <w:rPr>
                <w:noProof/>
                <w:sz w:val="18"/>
                <w:szCs w:val="18"/>
                <w:highlight w:val="lightGray"/>
              </w:rPr>
              <w:fldChar w:fldCharType="begin">
                <w:ffData>
                  <w:name w:val="Text27"/>
                  <w:enabled/>
                  <w:calcOnExit w:val="0"/>
                  <w:textInput/>
                </w:ffData>
              </w:fldChar>
            </w:r>
            <w:r w:rsidRPr="00501223">
              <w:rPr>
                <w:noProof/>
                <w:sz w:val="18"/>
                <w:szCs w:val="18"/>
                <w:highlight w:val="lightGray"/>
              </w:rPr>
              <w:instrText xml:space="preserve"> FORMTEXT </w:instrText>
            </w:r>
            <w:r w:rsidRPr="00501223">
              <w:rPr>
                <w:noProof/>
                <w:sz w:val="18"/>
                <w:szCs w:val="18"/>
                <w:highlight w:val="lightGray"/>
              </w:rPr>
            </w:r>
            <w:r w:rsidRPr="00501223">
              <w:rPr>
                <w:noProof/>
                <w:sz w:val="18"/>
                <w:szCs w:val="18"/>
                <w:highlight w:val="lightGray"/>
              </w:rPr>
              <w:fldChar w:fldCharType="separate"/>
            </w:r>
            <w:r w:rsidRPr="00501223">
              <w:rPr>
                <w:noProof/>
                <w:sz w:val="18"/>
                <w:szCs w:val="18"/>
                <w:highlight w:val="lightGray"/>
              </w:rPr>
              <w:t> </w:t>
            </w:r>
            <w:r w:rsidRPr="00501223">
              <w:rPr>
                <w:noProof/>
                <w:sz w:val="18"/>
                <w:szCs w:val="18"/>
                <w:highlight w:val="lightGray"/>
              </w:rPr>
              <w:t> </w:t>
            </w:r>
            <w:r w:rsidRPr="00501223">
              <w:rPr>
                <w:noProof/>
                <w:sz w:val="18"/>
                <w:szCs w:val="18"/>
                <w:highlight w:val="lightGray"/>
              </w:rPr>
              <w:t> </w:t>
            </w:r>
            <w:r w:rsidRPr="00501223">
              <w:rPr>
                <w:noProof/>
                <w:sz w:val="18"/>
                <w:szCs w:val="18"/>
                <w:highlight w:val="lightGray"/>
              </w:rPr>
              <w:t> </w:t>
            </w:r>
            <w:r w:rsidRPr="00501223">
              <w:rPr>
                <w:noProof/>
                <w:sz w:val="18"/>
                <w:szCs w:val="18"/>
                <w:highlight w:val="lightGray"/>
              </w:rPr>
              <w:t> </w:t>
            </w:r>
            <w:r w:rsidRPr="00501223">
              <w:rPr>
                <w:noProof/>
                <w:sz w:val="18"/>
                <w:szCs w:val="18"/>
                <w:highlight w:val="lightGray"/>
              </w:rPr>
              <w:fldChar w:fldCharType="end"/>
            </w:r>
          </w:p>
        </w:tc>
      </w:tr>
      <w:tr w:rsidR="00777D3A" w14:paraId="352DD291" w14:textId="77777777" w:rsidTr="00777D3A">
        <w:tc>
          <w:tcPr>
            <w:cnfStyle w:val="001000000000" w:firstRow="0" w:lastRow="0" w:firstColumn="1" w:lastColumn="0" w:oddVBand="0" w:evenVBand="0" w:oddHBand="0" w:evenHBand="0" w:firstRowFirstColumn="0" w:firstRowLastColumn="0" w:lastRowFirstColumn="0" w:lastRowLastColumn="0"/>
            <w:tcW w:w="390" w:type="pct"/>
          </w:tcPr>
          <w:p w14:paraId="3D133C94" w14:textId="77777777" w:rsidR="00777D3A" w:rsidRPr="00CC6943" w:rsidRDefault="00777D3A" w:rsidP="0013063E">
            <w:pPr>
              <w:jc w:val="center"/>
            </w:pPr>
            <w:r>
              <w:t>2</w:t>
            </w:r>
          </w:p>
        </w:tc>
        <w:tc>
          <w:tcPr>
            <w:tcW w:w="3918" w:type="pct"/>
          </w:tcPr>
          <w:p w14:paraId="2607E152" w14:textId="77777777" w:rsidR="00777D3A" w:rsidRPr="00CC6943" w:rsidRDefault="00777D3A" w:rsidP="0013063E">
            <w:pPr>
              <w:cnfStyle w:val="000000000000" w:firstRow="0" w:lastRow="0" w:firstColumn="0" w:lastColumn="0" w:oddVBand="0" w:evenVBand="0" w:oddHBand="0" w:evenHBand="0" w:firstRowFirstColumn="0" w:firstRowLastColumn="0" w:lastRowFirstColumn="0" w:lastRowLastColumn="0"/>
            </w:pPr>
            <w:r>
              <w:t>TOTAL EXPENSES</w:t>
            </w:r>
          </w:p>
        </w:tc>
        <w:tc>
          <w:tcPr>
            <w:cnfStyle w:val="000100000000" w:firstRow="0" w:lastRow="0" w:firstColumn="0" w:lastColumn="1" w:oddVBand="0" w:evenVBand="0" w:oddHBand="0" w:evenHBand="0" w:firstRowFirstColumn="0" w:firstRowLastColumn="0" w:lastRowFirstColumn="0" w:lastRowLastColumn="0"/>
            <w:tcW w:w="692" w:type="pct"/>
          </w:tcPr>
          <w:p w14:paraId="175BBB51" w14:textId="77777777" w:rsidR="00777D3A" w:rsidRPr="00501223" w:rsidRDefault="00777D3A" w:rsidP="0013063E">
            <w:pPr>
              <w:pStyle w:val="BodyText"/>
              <w:keepNext/>
              <w:ind w:right="198"/>
              <w:jc w:val="right"/>
              <w:rPr>
                <w:noProof/>
                <w:sz w:val="18"/>
                <w:szCs w:val="18"/>
                <w:highlight w:val="lightGray"/>
              </w:rPr>
            </w:pPr>
            <w:r w:rsidRPr="00501223">
              <w:rPr>
                <w:noProof/>
                <w:sz w:val="18"/>
                <w:szCs w:val="18"/>
                <w:highlight w:val="lightGray"/>
              </w:rPr>
              <w:fldChar w:fldCharType="begin">
                <w:ffData>
                  <w:name w:val="Text28"/>
                  <w:enabled/>
                  <w:calcOnExit w:val="0"/>
                  <w:textInput/>
                </w:ffData>
              </w:fldChar>
            </w:r>
            <w:r w:rsidRPr="00501223">
              <w:rPr>
                <w:noProof/>
                <w:sz w:val="18"/>
                <w:szCs w:val="18"/>
                <w:highlight w:val="lightGray"/>
              </w:rPr>
              <w:instrText xml:space="preserve"> FORMTEXT </w:instrText>
            </w:r>
            <w:r w:rsidRPr="00501223">
              <w:rPr>
                <w:noProof/>
                <w:sz w:val="18"/>
                <w:szCs w:val="18"/>
                <w:highlight w:val="lightGray"/>
              </w:rPr>
            </w:r>
            <w:r w:rsidRPr="00501223">
              <w:rPr>
                <w:noProof/>
                <w:sz w:val="18"/>
                <w:szCs w:val="18"/>
                <w:highlight w:val="lightGray"/>
              </w:rPr>
              <w:fldChar w:fldCharType="separate"/>
            </w:r>
            <w:r w:rsidRPr="00501223">
              <w:rPr>
                <w:noProof/>
                <w:sz w:val="18"/>
                <w:szCs w:val="18"/>
                <w:highlight w:val="lightGray"/>
              </w:rPr>
              <w:t> </w:t>
            </w:r>
            <w:r w:rsidRPr="00501223">
              <w:rPr>
                <w:noProof/>
                <w:sz w:val="18"/>
                <w:szCs w:val="18"/>
                <w:highlight w:val="lightGray"/>
              </w:rPr>
              <w:t> </w:t>
            </w:r>
            <w:r w:rsidRPr="00501223">
              <w:rPr>
                <w:noProof/>
                <w:sz w:val="18"/>
                <w:szCs w:val="18"/>
                <w:highlight w:val="lightGray"/>
              </w:rPr>
              <w:t> </w:t>
            </w:r>
            <w:r w:rsidRPr="00501223">
              <w:rPr>
                <w:noProof/>
                <w:sz w:val="18"/>
                <w:szCs w:val="18"/>
                <w:highlight w:val="lightGray"/>
              </w:rPr>
              <w:t> </w:t>
            </w:r>
            <w:r w:rsidRPr="00501223">
              <w:rPr>
                <w:noProof/>
                <w:sz w:val="18"/>
                <w:szCs w:val="18"/>
                <w:highlight w:val="lightGray"/>
              </w:rPr>
              <w:t> </w:t>
            </w:r>
            <w:r w:rsidRPr="00501223">
              <w:rPr>
                <w:noProof/>
                <w:sz w:val="18"/>
                <w:szCs w:val="18"/>
                <w:highlight w:val="lightGray"/>
              </w:rPr>
              <w:fldChar w:fldCharType="end"/>
            </w:r>
          </w:p>
        </w:tc>
      </w:tr>
      <w:tr w:rsidR="00777D3A" w:rsidRPr="00777D3A" w14:paraId="41748361" w14:textId="77777777" w:rsidTr="00777D3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8" w:type="pct"/>
            <w:gridSpan w:val="2"/>
          </w:tcPr>
          <w:p w14:paraId="39F3CABC" w14:textId="77777777" w:rsidR="00777D3A" w:rsidRPr="00777D3A" w:rsidRDefault="00777D3A" w:rsidP="0013063E">
            <w:pPr>
              <w:rPr>
                <w:sz w:val="24"/>
              </w:rPr>
            </w:pPr>
            <w:r w:rsidRPr="00777D3A">
              <w:rPr>
                <w:sz w:val="24"/>
              </w:rPr>
              <w:t xml:space="preserve">TOTAL QUOTE PRICE </w:t>
            </w:r>
          </w:p>
        </w:tc>
        <w:tc>
          <w:tcPr>
            <w:cnfStyle w:val="000100000000" w:firstRow="0" w:lastRow="0" w:firstColumn="0" w:lastColumn="1" w:oddVBand="0" w:evenVBand="0" w:oddHBand="0" w:evenHBand="0" w:firstRowFirstColumn="0" w:firstRowLastColumn="0" w:lastRowFirstColumn="0" w:lastRowLastColumn="0"/>
            <w:tcW w:w="692" w:type="pct"/>
          </w:tcPr>
          <w:p w14:paraId="58B561C4" w14:textId="77777777" w:rsidR="00777D3A" w:rsidRPr="00777D3A" w:rsidRDefault="00777D3A" w:rsidP="0013063E">
            <w:pPr>
              <w:pStyle w:val="BodyText"/>
              <w:keepNext/>
              <w:ind w:right="198"/>
              <w:jc w:val="right"/>
              <w:rPr>
                <w:b w:val="0"/>
                <w:bCs w:val="0"/>
                <w:noProof/>
                <w:sz w:val="24"/>
                <w:szCs w:val="18"/>
                <w:highlight w:val="lightGray"/>
              </w:rPr>
            </w:pPr>
            <w:r w:rsidRPr="00777D3A">
              <w:rPr>
                <w:b w:val="0"/>
                <w:bCs w:val="0"/>
                <w:noProof/>
                <w:sz w:val="24"/>
                <w:szCs w:val="18"/>
                <w:highlight w:val="lightGray"/>
              </w:rPr>
              <w:t>NZ$</w:t>
            </w:r>
            <w:r w:rsidRPr="00777D3A">
              <w:rPr>
                <w:noProof/>
                <w:sz w:val="24"/>
                <w:szCs w:val="18"/>
                <w:highlight w:val="lightGray"/>
              </w:rPr>
              <w:fldChar w:fldCharType="begin">
                <w:ffData>
                  <w:name w:val="Text30"/>
                  <w:enabled/>
                  <w:calcOnExit w:val="0"/>
                  <w:textInput/>
                </w:ffData>
              </w:fldChar>
            </w:r>
            <w:r w:rsidRPr="00777D3A">
              <w:rPr>
                <w:b w:val="0"/>
                <w:bCs w:val="0"/>
                <w:noProof/>
                <w:sz w:val="24"/>
                <w:szCs w:val="18"/>
                <w:highlight w:val="lightGray"/>
              </w:rPr>
              <w:instrText xml:space="preserve"> FORMTEXT </w:instrText>
            </w:r>
            <w:r w:rsidRPr="00777D3A">
              <w:rPr>
                <w:noProof/>
                <w:sz w:val="24"/>
                <w:szCs w:val="18"/>
                <w:highlight w:val="lightGray"/>
              </w:rPr>
            </w:r>
            <w:r w:rsidRPr="00777D3A">
              <w:rPr>
                <w:noProof/>
                <w:sz w:val="24"/>
                <w:szCs w:val="18"/>
                <w:highlight w:val="lightGray"/>
              </w:rPr>
              <w:fldChar w:fldCharType="separate"/>
            </w:r>
            <w:r w:rsidRPr="00777D3A">
              <w:rPr>
                <w:b w:val="0"/>
                <w:bCs w:val="0"/>
                <w:noProof/>
                <w:sz w:val="24"/>
                <w:szCs w:val="18"/>
                <w:highlight w:val="lightGray"/>
              </w:rPr>
              <w:t> </w:t>
            </w:r>
            <w:r w:rsidRPr="00777D3A">
              <w:rPr>
                <w:b w:val="0"/>
                <w:bCs w:val="0"/>
                <w:noProof/>
                <w:sz w:val="24"/>
                <w:szCs w:val="18"/>
                <w:highlight w:val="lightGray"/>
              </w:rPr>
              <w:t> </w:t>
            </w:r>
            <w:r w:rsidRPr="00777D3A">
              <w:rPr>
                <w:b w:val="0"/>
                <w:bCs w:val="0"/>
                <w:noProof/>
                <w:sz w:val="24"/>
                <w:szCs w:val="18"/>
                <w:highlight w:val="lightGray"/>
              </w:rPr>
              <w:t> </w:t>
            </w:r>
            <w:r w:rsidRPr="00777D3A">
              <w:rPr>
                <w:b w:val="0"/>
                <w:bCs w:val="0"/>
                <w:noProof/>
                <w:sz w:val="24"/>
                <w:szCs w:val="18"/>
                <w:highlight w:val="lightGray"/>
              </w:rPr>
              <w:t> </w:t>
            </w:r>
            <w:r w:rsidRPr="00777D3A">
              <w:rPr>
                <w:b w:val="0"/>
                <w:bCs w:val="0"/>
                <w:noProof/>
                <w:sz w:val="24"/>
                <w:szCs w:val="18"/>
                <w:highlight w:val="lightGray"/>
              </w:rPr>
              <w:t> </w:t>
            </w:r>
            <w:r w:rsidRPr="00777D3A">
              <w:rPr>
                <w:noProof/>
                <w:sz w:val="24"/>
                <w:szCs w:val="18"/>
                <w:highlight w:val="lightGray"/>
              </w:rPr>
              <w:fldChar w:fldCharType="end"/>
            </w:r>
          </w:p>
        </w:tc>
      </w:tr>
    </w:tbl>
    <w:p w14:paraId="2DE0FEA6" w14:textId="77777777" w:rsidR="00777D3A" w:rsidRPr="00777D3A" w:rsidRDefault="00777D3A" w:rsidP="00D926EE">
      <w:pPr>
        <w:pStyle w:val="Heading1"/>
      </w:pPr>
      <w:r>
        <w:t>Fees for additional services</w:t>
      </w:r>
      <w:r w:rsidRPr="00777D3A">
        <w:t>:</w:t>
      </w:r>
    </w:p>
    <w:p w14:paraId="2B95FB0D" w14:textId="77777777" w:rsidR="00777D3A" w:rsidRPr="00A134A6" w:rsidRDefault="00777D3A" w:rsidP="00777D3A">
      <w:r>
        <w:t>To be used to calc</w:t>
      </w:r>
      <w:r w:rsidRPr="00A134A6">
        <w:t xml:space="preserve">ulate time charges for </w:t>
      </w:r>
      <w:r>
        <w:t>variations to the Terms of Reference (if needed).</w:t>
      </w:r>
      <w:r w:rsidRPr="00A134A6">
        <w:t xml:space="preserve"> </w:t>
      </w:r>
    </w:p>
    <w:tbl>
      <w:tblPr>
        <w:tblStyle w:val="GridTable1Light-Accent6"/>
        <w:tblW w:w="5000" w:type="pct"/>
        <w:tblLook w:val="01E0" w:firstRow="1" w:lastRow="1" w:firstColumn="1" w:lastColumn="1" w:noHBand="0" w:noVBand="0"/>
      </w:tblPr>
      <w:tblGrid>
        <w:gridCol w:w="561"/>
        <w:gridCol w:w="4822"/>
        <w:gridCol w:w="1417"/>
        <w:gridCol w:w="2216"/>
      </w:tblGrid>
      <w:tr w:rsidR="00777D3A" w:rsidRPr="00D926EE" w14:paraId="22517D9F" w14:textId="77777777" w:rsidTr="00777D3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1" w:type="pct"/>
          </w:tcPr>
          <w:p w14:paraId="33CCE5E9" w14:textId="77777777" w:rsidR="00777D3A" w:rsidRPr="00D926EE" w:rsidRDefault="00777D3A" w:rsidP="0013063E">
            <w:pPr>
              <w:pStyle w:val="BodyText"/>
              <w:keepNext/>
              <w:spacing w:after="0"/>
              <w:contextualSpacing/>
              <w:rPr>
                <w:b w:val="0"/>
                <w:szCs w:val="20"/>
              </w:rPr>
            </w:pPr>
            <w:r w:rsidRPr="00D926EE">
              <w:rPr>
                <w:szCs w:val="20"/>
              </w:rPr>
              <w:t>No.</w:t>
            </w:r>
          </w:p>
        </w:tc>
        <w:tc>
          <w:tcPr>
            <w:tcW w:w="2674" w:type="pct"/>
          </w:tcPr>
          <w:p w14:paraId="569CDA5C" w14:textId="77777777" w:rsidR="00777D3A" w:rsidRPr="00D926EE" w:rsidRDefault="00777D3A" w:rsidP="0013063E">
            <w:pPr>
              <w:pStyle w:val="BodyText"/>
              <w:keepNext/>
              <w:spacing w:after="0"/>
              <w:contextualSpacing/>
              <w:cnfStyle w:val="100000000000" w:firstRow="1" w:lastRow="0" w:firstColumn="0" w:lastColumn="0" w:oddVBand="0" w:evenVBand="0" w:oddHBand="0" w:evenHBand="0" w:firstRowFirstColumn="0" w:firstRowLastColumn="0" w:lastRowFirstColumn="0" w:lastRowLastColumn="0"/>
              <w:rPr>
                <w:b w:val="0"/>
                <w:szCs w:val="20"/>
              </w:rPr>
            </w:pPr>
            <w:r w:rsidRPr="00D926EE">
              <w:rPr>
                <w:szCs w:val="20"/>
              </w:rPr>
              <w:t>Person category</w:t>
            </w:r>
          </w:p>
        </w:tc>
        <w:tc>
          <w:tcPr>
            <w:tcW w:w="786" w:type="pct"/>
          </w:tcPr>
          <w:p w14:paraId="5A71D689" w14:textId="77777777" w:rsidR="00777D3A" w:rsidRPr="00D926EE" w:rsidRDefault="00777D3A" w:rsidP="0013063E">
            <w:pPr>
              <w:pStyle w:val="BodyText"/>
              <w:keepNext/>
              <w:spacing w:after="0"/>
              <w:contextualSpacing/>
              <w:cnfStyle w:val="100000000000" w:firstRow="1" w:lastRow="0" w:firstColumn="0" w:lastColumn="0" w:oddVBand="0" w:evenVBand="0" w:oddHBand="0" w:evenHBand="0" w:firstRowFirstColumn="0" w:firstRowLastColumn="0" w:lastRowFirstColumn="0" w:lastRowLastColumn="0"/>
              <w:rPr>
                <w:b w:val="0"/>
                <w:szCs w:val="20"/>
              </w:rPr>
            </w:pPr>
            <w:r w:rsidRPr="00D926EE">
              <w:rPr>
                <w:szCs w:val="20"/>
              </w:rPr>
              <w:t>Unit of measure</w:t>
            </w:r>
          </w:p>
        </w:tc>
        <w:tc>
          <w:tcPr>
            <w:cnfStyle w:val="000100000000" w:firstRow="0" w:lastRow="0" w:firstColumn="0" w:lastColumn="1" w:oddVBand="0" w:evenVBand="0" w:oddHBand="0" w:evenHBand="0" w:firstRowFirstColumn="0" w:firstRowLastColumn="0" w:lastRowFirstColumn="0" w:lastRowLastColumn="0"/>
            <w:tcW w:w="1229" w:type="pct"/>
          </w:tcPr>
          <w:p w14:paraId="5C401AD0" w14:textId="77777777" w:rsidR="00777D3A" w:rsidRPr="00D926EE" w:rsidRDefault="00777D3A" w:rsidP="0013063E">
            <w:pPr>
              <w:pStyle w:val="BodyText"/>
              <w:keepNext/>
              <w:spacing w:after="0"/>
              <w:contextualSpacing/>
              <w:jc w:val="right"/>
              <w:rPr>
                <w:b w:val="0"/>
                <w:szCs w:val="20"/>
              </w:rPr>
            </w:pPr>
            <w:r w:rsidRPr="00D926EE">
              <w:rPr>
                <w:szCs w:val="20"/>
              </w:rPr>
              <w:t>Unit Price Fees (NZD)</w:t>
            </w:r>
          </w:p>
        </w:tc>
      </w:tr>
      <w:tr w:rsidR="00777D3A" w:rsidRPr="00D926EE" w14:paraId="3EA0D4BF" w14:textId="77777777" w:rsidTr="00777D3A">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11" w:type="pct"/>
            <w:noWrap/>
          </w:tcPr>
          <w:p w14:paraId="2B4D115B" w14:textId="77777777" w:rsidR="00777D3A" w:rsidRPr="00D926EE" w:rsidRDefault="00777D3A" w:rsidP="0013063E">
            <w:pPr>
              <w:pStyle w:val="BodyText"/>
              <w:keepNext/>
              <w:spacing w:after="0"/>
              <w:contextualSpacing/>
              <w:jc w:val="center"/>
              <w:rPr>
                <w:szCs w:val="20"/>
              </w:rPr>
            </w:pPr>
            <w:r w:rsidRPr="00D926EE">
              <w:rPr>
                <w:szCs w:val="20"/>
              </w:rPr>
              <w:t>a.</w:t>
            </w:r>
          </w:p>
        </w:tc>
        <w:tc>
          <w:tcPr>
            <w:tcW w:w="2674" w:type="pct"/>
          </w:tcPr>
          <w:p w14:paraId="469FACAB" w14:textId="77777777" w:rsidR="00777D3A" w:rsidRPr="00D926EE" w:rsidRDefault="00777D3A" w:rsidP="0013063E">
            <w:pPr>
              <w:pStyle w:val="BodyText"/>
              <w:keepNext/>
              <w:contextualSpacing/>
              <w:cnfStyle w:val="010000000000" w:firstRow="0" w:lastRow="1" w:firstColumn="0" w:lastColumn="0" w:oddVBand="0" w:evenVBand="0" w:oddHBand="0" w:evenHBand="0" w:firstRowFirstColumn="0" w:firstRowLastColumn="0" w:lastRowFirstColumn="0" w:lastRowLastColumn="0"/>
              <w:rPr>
                <w:szCs w:val="20"/>
                <w:highlight w:val="lightGray"/>
                <w:lang w:eastAsia="en-NZ"/>
              </w:rPr>
            </w:pPr>
            <w:r w:rsidRPr="00D926EE">
              <w:rPr>
                <w:szCs w:val="20"/>
                <w:highlight w:val="lightGray"/>
                <w:lang w:eastAsia="en-NZ"/>
              </w:rPr>
              <w:fldChar w:fldCharType="begin">
                <w:ffData>
                  <w:name w:val="Text27"/>
                  <w:enabled/>
                  <w:calcOnExit w:val="0"/>
                  <w:textInput/>
                </w:ffData>
              </w:fldChar>
            </w:r>
            <w:r w:rsidRPr="00D926EE">
              <w:rPr>
                <w:szCs w:val="20"/>
                <w:highlight w:val="lightGray"/>
                <w:lang w:eastAsia="en-NZ"/>
              </w:rPr>
              <w:instrText xml:space="preserve"> FORMTEXT </w:instrText>
            </w:r>
            <w:r w:rsidRPr="00D926EE">
              <w:rPr>
                <w:szCs w:val="20"/>
                <w:highlight w:val="lightGray"/>
                <w:lang w:eastAsia="en-NZ"/>
              </w:rPr>
            </w:r>
            <w:r w:rsidRPr="00D926EE">
              <w:rPr>
                <w:szCs w:val="20"/>
                <w:highlight w:val="lightGray"/>
                <w:lang w:eastAsia="en-NZ"/>
              </w:rPr>
              <w:fldChar w:fldCharType="separate"/>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t> </w:t>
            </w:r>
            <w:r w:rsidRPr="00D926EE">
              <w:rPr>
                <w:szCs w:val="20"/>
                <w:highlight w:val="lightGray"/>
                <w:lang w:eastAsia="en-NZ"/>
              </w:rPr>
              <w:fldChar w:fldCharType="end"/>
            </w:r>
          </w:p>
        </w:tc>
        <w:tc>
          <w:tcPr>
            <w:tcW w:w="786" w:type="pct"/>
          </w:tcPr>
          <w:p w14:paraId="76B00970" w14:textId="77777777" w:rsidR="00777D3A" w:rsidRPr="00D926EE" w:rsidRDefault="00777D3A" w:rsidP="0013063E">
            <w:pPr>
              <w:pStyle w:val="BodyText"/>
              <w:keepNext/>
              <w:spacing w:after="0"/>
              <w:ind w:right="198"/>
              <w:contextualSpacing/>
              <w:cnfStyle w:val="010000000000" w:firstRow="0" w:lastRow="1" w:firstColumn="0" w:lastColumn="0" w:oddVBand="0" w:evenVBand="0" w:oddHBand="0" w:evenHBand="0" w:firstRowFirstColumn="0" w:firstRowLastColumn="0" w:lastRowFirstColumn="0" w:lastRowLastColumn="0"/>
              <w:rPr>
                <w:b w:val="0"/>
                <w:szCs w:val="20"/>
              </w:rPr>
            </w:pPr>
            <w:r w:rsidRPr="00D926EE">
              <w:rPr>
                <w:b w:val="0"/>
                <w:szCs w:val="20"/>
              </w:rPr>
              <w:t>Hour</w:t>
            </w:r>
          </w:p>
        </w:tc>
        <w:tc>
          <w:tcPr>
            <w:cnfStyle w:val="000100000000" w:firstRow="0" w:lastRow="0" w:firstColumn="0" w:lastColumn="1" w:oddVBand="0" w:evenVBand="0" w:oddHBand="0" w:evenHBand="0" w:firstRowFirstColumn="0" w:firstRowLastColumn="0" w:lastRowFirstColumn="0" w:lastRowLastColumn="0"/>
            <w:tcW w:w="1229" w:type="pct"/>
          </w:tcPr>
          <w:p w14:paraId="5A670E6A" w14:textId="77777777" w:rsidR="00777D3A" w:rsidRPr="00D926EE" w:rsidRDefault="00777D3A" w:rsidP="0013063E">
            <w:pPr>
              <w:pStyle w:val="BodyText"/>
              <w:keepNext/>
              <w:ind w:right="198"/>
              <w:contextualSpacing/>
              <w:jc w:val="right"/>
              <w:rPr>
                <w:noProof/>
                <w:szCs w:val="20"/>
                <w:highlight w:val="lightGray"/>
              </w:rPr>
            </w:pPr>
            <w:r w:rsidRPr="00D926EE">
              <w:rPr>
                <w:noProof/>
                <w:szCs w:val="20"/>
                <w:highlight w:val="lightGray"/>
              </w:rPr>
              <w:fldChar w:fldCharType="begin">
                <w:ffData>
                  <w:name w:val="Text18"/>
                  <w:enabled/>
                  <w:calcOnExit w:val="0"/>
                  <w:textInput/>
                </w:ffData>
              </w:fldChar>
            </w:r>
            <w:r w:rsidRPr="00D926EE">
              <w:rPr>
                <w:noProof/>
                <w:szCs w:val="20"/>
                <w:highlight w:val="lightGray"/>
              </w:rPr>
              <w:instrText xml:space="preserve"> FORMTEXT </w:instrText>
            </w:r>
            <w:r w:rsidRPr="00D926EE">
              <w:rPr>
                <w:noProof/>
                <w:szCs w:val="20"/>
                <w:highlight w:val="lightGray"/>
              </w:rPr>
            </w:r>
            <w:r w:rsidRPr="00D926EE">
              <w:rPr>
                <w:noProof/>
                <w:szCs w:val="20"/>
                <w:highlight w:val="lightGray"/>
              </w:rPr>
              <w:fldChar w:fldCharType="separate"/>
            </w:r>
            <w:r w:rsidRPr="00D926EE">
              <w:rPr>
                <w:noProof/>
                <w:szCs w:val="20"/>
                <w:highlight w:val="lightGray"/>
              </w:rPr>
              <w:t> </w:t>
            </w:r>
            <w:r w:rsidRPr="00D926EE">
              <w:rPr>
                <w:noProof/>
                <w:szCs w:val="20"/>
                <w:highlight w:val="lightGray"/>
              </w:rPr>
              <w:t> </w:t>
            </w:r>
            <w:r w:rsidRPr="00D926EE">
              <w:rPr>
                <w:noProof/>
                <w:szCs w:val="20"/>
                <w:highlight w:val="lightGray"/>
              </w:rPr>
              <w:t> </w:t>
            </w:r>
            <w:r w:rsidRPr="00D926EE">
              <w:rPr>
                <w:noProof/>
                <w:szCs w:val="20"/>
                <w:highlight w:val="lightGray"/>
              </w:rPr>
              <w:t> </w:t>
            </w:r>
            <w:r w:rsidRPr="00D926EE">
              <w:rPr>
                <w:noProof/>
                <w:szCs w:val="20"/>
                <w:highlight w:val="lightGray"/>
              </w:rPr>
              <w:t> </w:t>
            </w:r>
            <w:r w:rsidRPr="00D926EE">
              <w:rPr>
                <w:noProof/>
                <w:szCs w:val="20"/>
                <w:highlight w:val="lightGray"/>
              </w:rPr>
              <w:fldChar w:fldCharType="end"/>
            </w:r>
          </w:p>
        </w:tc>
      </w:tr>
    </w:tbl>
    <w:p w14:paraId="3B0E6DDE" w14:textId="77777777" w:rsidR="00777D3A" w:rsidRDefault="00777D3A" w:rsidP="00777D3A"/>
    <w:p w14:paraId="3399A641" w14:textId="77777777" w:rsidR="00777D3A" w:rsidRDefault="00777D3A" w:rsidP="00777D3A">
      <w:pPr>
        <w:pStyle w:val="BodyText"/>
        <w:spacing w:line="20" w:lineRule="exact"/>
        <w:ind w:left="130"/>
        <w:rPr>
          <w:sz w:val="2"/>
        </w:rPr>
      </w:pPr>
    </w:p>
    <w:p w14:paraId="288BE5D4" w14:textId="77777777" w:rsidR="00777D3A" w:rsidRDefault="00777D3A" w:rsidP="00777D3A">
      <w:pPr>
        <w:pStyle w:val="Title"/>
      </w:pPr>
      <w:r>
        <w:t>Draft Contract</w:t>
      </w:r>
    </w:p>
    <w:p w14:paraId="19FCC42B" w14:textId="77777777" w:rsidR="00777D3A" w:rsidRDefault="00777D3A" w:rsidP="00777D3A">
      <w:pPr>
        <w:jc w:val="center"/>
        <w:rPr>
          <w:rFonts w:ascii="Arial Narrow" w:hAnsi="Arial Narrow"/>
          <w:b/>
          <w:sz w:val="28"/>
        </w:rPr>
      </w:pPr>
      <w:r w:rsidRPr="00174721">
        <w:rPr>
          <w:rFonts w:ascii="Arial Narrow" w:hAnsi="Arial Narrow"/>
          <w:b/>
          <w:noProof/>
          <w:lang w:val="en-AU" w:eastAsia="en-AU"/>
        </w:rPr>
        <w:drawing>
          <wp:anchor distT="0" distB="0" distL="114300" distR="114300" simplePos="0" relativeHeight="251661312" behindDoc="0" locked="0" layoutInCell="1" allowOverlap="1" wp14:anchorId="146F5BC8" wp14:editId="0F20C76C">
            <wp:simplePos x="0" y="0"/>
            <wp:positionH relativeFrom="column">
              <wp:posOffset>2498090</wp:posOffset>
            </wp:positionH>
            <wp:positionV relativeFrom="paragraph">
              <wp:posOffset>173355</wp:posOffset>
            </wp:positionV>
            <wp:extent cx="816492" cy="94979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clrChange>
                        <a:clrFrom>
                          <a:srgbClr val="FFFFFF"/>
                        </a:clrFrom>
                        <a:clrTo>
                          <a:srgbClr val="FFFFFF">
                            <a:alpha val="0"/>
                          </a:srgbClr>
                        </a:clrTo>
                      </a:clrChange>
                    </a:blip>
                    <a:srcRect/>
                    <a:stretch>
                      <a:fillRect/>
                    </a:stretch>
                  </pic:blipFill>
                  <pic:spPr bwMode="auto">
                    <a:xfrm>
                      <a:off x="0" y="0"/>
                      <a:ext cx="816492" cy="949797"/>
                    </a:xfrm>
                    <a:prstGeom prst="rect">
                      <a:avLst/>
                    </a:prstGeom>
                    <a:noFill/>
                  </pic:spPr>
                </pic:pic>
              </a:graphicData>
            </a:graphic>
            <wp14:sizeRelH relativeFrom="margin">
              <wp14:pctWidth>0</wp14:pctWidth>
            </wp14:sizeRelH>
            <wp14:sizeRelV relativeFrom="margin">
              <wp14:pctHeight>0</wp14:pctHeight>
            </wp14:sizeRelV>
          </wp:anchor>
        </w:drawing>
      </w:r>
    </w:p>
    <w:p w14:paraId="10FE6A69" w14:textId="77777777" w:rsidR="00777D3A" w:rsidRPr="006D0356" w:rsidRDefault="00777D3A" w:rsidP="00777D3A">
      <w:pPr>
        <w:spacing w:after="240" w:line="240" w:lineRule="auto"/>
        <w:rPr>
          <w:rFonts w:ascii="Arial Bold" w:eastAsia="Calibri" w:hAnsi="Arial Bold"/>
          <w:b/>
          <w:caps/>
          <w:sz w:val="28"/>
          <w:u w:val="single"/>
        </w:rPr>
      </w:pPr>
    </w:p>
    <w:p w14:paraId="0B44E7E2" w14:textId="77777777" w:rsidR="00777D3A" w:rsidRPr="00174721" w:rsidRDefault="00777D3A" w:rsidP="00777D3A">
      <w:pPr>
        <w:jc w:val="center"/>
        <w:rPr>
          <w:rFonts w:ascii="Arial Narrow" w:hAnsi="Arial Narrow"/>
          <w:b/>
        </w:rPr>
      </w:pPr>
    </w:p>
    <w:p w14:paraId="6D80833E" w14:textId="77777777" w:rsidR="00777D3A" w:rsidRDefault="00777D3A" w:rsidP="00777D3A">
      <w:pPr>
        <w:jc w:val="center"/>
        <w:rPr>
          <w:rFonts w:ascii="Arial Narrow" w:hAnsi="Arial Narrow"/>
          <w:b/>
        </w:rPr>
      </w:pPr>
    </w:p>
    <w:p w14:paraId="7637DFED" w14:textId="77777777" w:rsidR="00777D3A" w:rsidRPr="00174721" w:rsidRDefault="00777D3A" w:rsidP="00777D3A">
      <w:pPr>
        <w:jc w:val="center"/>
        <w:rPr>
          <w:rFonts w:ascii="Arial Narrow" w:hAnsi="Arial Narrow"/>
          <w:b/>
          <w:sz w:val="28"/>
        </w:rPr>
      </w:pPr>
      <w:r w:rsidRPr="00174721">
        <w:rPr>
          <w:rFonts w:ascii="Arial Narrow" w:hAnsi="Arial Narrow"/>
          <w:b/>
          <w:sz w:val="28"/>
        </w:rPr>
        <w:t>Schedule</w:t>
      </w:r>
    </w:p>
    <w:p w14:paraId="5896716B" w14:textId="77777777" w:rsidR="00777D3A" w:rsidRPr="00174721" w:rsidRDefault="00777D3A" w:rsidP="00777D3A">
      <w:pPr>
        <w:ind w:left="2160" w:right="-329" w:hanging="2160"/>
        <w:rPr>
          <w:rFonts w:ascii="Arial Narrow" w:hAnsi="Arial Narrow"/>
          <w:b/>
        </w:rPr>
      </w:pPr>
      <w:r>
        <w:rPr>
          <w:rFonts w:ascii="Arial Narrow" w:hAnsi="Arial Narrow"/>
          <w:b/>
        </w:rPr>
        <w:t>PRINCIPAL</w:t>
      </w:r>
      <w:r w:rsidRPr="00174721">
        <w:rPr>
          <w:rFonts w:ascii="Arial Narrow" w:hAnsi="Arial Narrow"/>
        </w:rPr>
        <w:t xml:space="preserve">:  </w:t>
      </w:r>
      <w:r w:rsidRPr="00174721">
        <w:rPr>
          <w:rFonts w:ascii="Arial Narrow" w:hAnsi="Arial Narrow"/>
        </w:rPr>
        <w:tab/>
      </w:r>
      <w:r w:rsidRPr="00174721">
        <w:rPr>
          <w:rFonts w:ascii="Arial Narrow" w:hAnsi="Arial Narrow"/>
          <w:b/>
        </w:rPr>
        <w:t>Cook Islands Investment Corporation</w:t>
      </w:r>
    </w:p>
    <w:p w14:paraId="1E8A0C7C" w14:textId="77777777" w:rsidR="00777D3A" w:rsidRPr="00174721" w:rsidRDefault="00777D3A" w:rsidP="00777D3A">
      <w:pPr>
        <w:spacing w:before="720"/>
        <w:ind w:left="284"/>
        <w:rPr>
          <w:rFonts w:ascii="Arial Narrow" w:hAnsi="Arial Narrow"/>
        </w:rPr>
      </w:pPr>
      <w:r w:rsidRPr="00174721">
        <w:rPr>
          <w:rFonts w:ascii="Arial Narrow" w:hAnsi="Arial Narrow"/>
        </w:rPr>
        <w:t>Signed:</w:t>
      </w:r>
      <w:r w:rsidRPr="00174721">
        <w:rPr>
          <w:rFonts w:ascii="Arial Narrow" w:hAnsi="Arial Narrow"/>
        </w:rPr>
        <w:tab/>
      </w:r>
      <w:r w:rsidRPr="00174721">
        <w:rPr>
          <w:rFonts w:ascii="Arial Narrow" w:hAnsi="Arial Narrow"/>
        </w:rPr>
        <w:tab/>
        <w:t>_____________________________</w:t>
      </w:r>
    </w:p>
    <w:p w14:paraId="310DB921" w14:textId="77777777" w:rsidR="00777D3A" w:rsidRPr="00174721" w:rsidRDefault="00777D3A" w:rsidP="00777D3A">
      <w:pPr>
        <w:ind w:left="284"/>
        <w:rPr>
          <w:rFonts w:ascii="Arial Narrow" w:hAnsi="Arial Narrow"/>
        </w:rPr>
      </w:pPr>
      <w:r w:rsidRPr="00174721">
        <w:rPr>
          <w:rFonts w:ascii="Arial Narrow" w:hAnsi="Arial Narrow"/>
        </w:rPr>
        <w:t>Name:</w:t>
      </w:r>
      <w:r w:rsidRPr="00174721">
        <w:rPr>
          <w:rFonts w:ascii="Arial Narrow" w:hAnsi="Arial Narrow"/>
        </w:rPr>
        <w:tab/>
      </w:r>
      <w:r w:rsidRPr="00174721">
        <w:rPr>
          <w:rFonts w:ascii="Arial Narrow" w:hAnsi="Arial Narrow"/>
        </w:rPr>
        <w:tab/>
        <w:t>Allan Jensen</w:t>
      </w:r>
    </w:p>
    <w:p w14:paraId="7683F6C9" w14:textId="77777777" w:rsidR="00777D3A" w:rsidRPr="00174721" w:rsidRDefault="00777D3A" w:rsidP="00777D3A">
      <w:pPr>
        <w:ind w:left="284"/>
        <w:rPr>
          <w:rFonts w:ascii="Arial Narrow" w:hAnsi="Arial Narrow"/>
        </w:rPr>
      </w:pPr>
      <w:r w:rsidRPr="00174721">
        <w:rPr>
          <w:rFonts w:ascii="Arial Narrow" w:hAnsi="Arial Narrow"/>
        </w:rPr>
        <w:t>Position:</w:t>
      </w:r>
      <w:r w:rsidRPr="00174721">
        <w:rPr>
          <w:rFonts w:ascii="Arial Narrow" w:hAnsi="Arial Narrow"/>
        </w:rPr>
        <w:tab/>
      </w:r>
      <w:r>
        <w:rPr>
          <w:rFonts w:ascii="Arial Narrow" w:hAnsi="Arial Narrow"/>
        </w:rPr>
        <w:tab/>
      </w:r>
      <w:r w:rsidRPr="00174721">
        <w:rPr>
          <w:rFonts w:ascii="Arial Narrow" w:hAnsi="Arial Narrow"/>
        </w:rPr>
        <w:t>Chief Executive Officer</w:t>
      </w:r>
    </w:p>
    <w:p w14:paraId="3F9F6804" w14:textId="77777777" w:rsidR="00777D3A" w:rsidRPr="00174721" w:rsidRDefault="00777D3A" w:rsidP="00777D3A">
      <w:pPr>
        <w:ind w:left="284"/>
        <w:rPr>
          <w:rFonts w:ascii="Arial Narrow" w:hAnsi="Arial Narrow"/>
        </w:rPr>
      </w:pPr>
      <w:r w:rsidRPr="00174721">
        <w:rPr>
          <w:rFonts w:ascii="Arial Narrow" w:hAnsi="Arial Narrow"/>
        </w:rPr>
        <w:t>Date:</w:t>
      </w:r>
    </w:p>
    <w:p w14:paraId="616649FA" w14:textId="77777777" w:rsidR="00777D3A" w:rsidRPr="00174721" w:rsidRDefault="00777D3A" w:rsidP="00777D3A">
      <w:pPr>
        <w:rPr>
          <w:rFonts w:ascii="Arial Narrow" w:hAnsi="Arial Narrow"/>
        </w:rPr>
      </w:pPr>
    </w:p>
    <w:p w14:paraId="2C30E492" w14:textId="77777777" w:rsidR="00777D3A" w:rsidRPr="00174721" w:rsidRDefault="00777D3A" w:rsidP="00777D3A">
      <w:pPr>
        <w:rPr>
          <w:rFonts w:ascii="Arial Narrow" w:hAnsi="Arial Narrow"/>
        </w:rPr>
      </w:pPr>
      <w:r w:rsidRPr="00174721">
        <w:rPr>
          <w:rFonts w:ascii="Arial Narrow" w:hAnsi="Arial Narrow"/>
          <w:b/>
        </w:rPr>
        <w:t>CONSULTANT</w:t>
      </w:r>
      <w:r w:rsidRPr="00174721">
        <w:rPr>
          <w:rFonts w:ascii="Arial Narrow" w:hAnsi="Arial Narrow"/>
        </w:rPr>
        <w:t xml:space="preserve">:  </w:t>
      </w:r>
      <w:r w:rsidRPr="00174721">
        <w:rPr>
          <w:rFonts w:ascii="Arial Narrow" w:hAnsi="Arial Narrow"/>
        </w:rPr>
        <w:tab/>
      </w:r>
      <w:r w:rsidRPr="00174721">
        <w:rPr>
          <w:rFonts w:ascii="Arial Narrow" w:hAnsi="Arial Narrow"/>
        </w:rPr>
        <w:tab/>
      </w:r>
    </w:p>
    <w:p w14:paraId="6ABD8C54" w14:textId="77777777" w:rsidR="00777D3A" w:rsidRPr="00174721" w:rsidRDefault="00777D3A" w:rsidP="00777D3A">
      <w:pPr>
        <w:spacing w:before="720"/>
        <w:ind w:left="284"/>
        <w:rPr>
          <w:rFonts w:ascii="Arial Narrow" w:hAnsi="Arial Narrow"/>
        </w:rPr>
      </w:pPr>
      <w:r w:rsidRPr="00174721">
        <w:rPr>
          <w:rFonts w:ascii="Arial Narrow" w:hAnsi="Arial Narrow"/>
        </w:rPr>
        <w:t>Signed:</w:t>
      </w:r>
      <w:r w:rsidRPr="00174721">
        <w:rPr>
          <w:rFonts w:ascii="Arial Narrow" w:hAnsi="Arial Narrow"/>
        </w:rPr>
        <w:tab/>
      </w:r>
      <w:r w:rsidRPr="00174721">
        <w:rPr>
          <w:rFonts w:ascii="Arial Narrow" w:hAnsi="Arial Narrow"/>
        </w:rPr>
        <w:tab/>
        <w:t>_____________________________</w:t>
      </w:r>
    </w:p>
    <w:p w14:paraId="04BD63D0" w14:textId="77777777" w:rsidR="00777D3A" w:rsidRPr="00174721" w:rsidRDefault="00777D3A" w:rsidP="00777D3A">
      <w:pPr>
        <w:ind w:left="284"/>
        <w:rPr>
          <w:rFonts w:ascii="Arial Narrow" w:hAnsi="Arial Narrow"/>
        </w:rPr>
      </w:pPr>
      <w:r w:rsidRPr="00174721">
        <w:rPr>
          <w:rFonts w:ascii="Arial Narrow" w:hAnsi="Arial Narrow"/>
        </w:rPr>
        <w:t>Name:</w:t>
      </w:r>
      <w:r w:rsidRPr="00174721">
        <w:rPr>
          <w:rFonts w:ascii="Arial Narrow" w:hAnsi="Arial Narrow"/>
        </w:rPr>
        <w:tab/>
      </w:r>
      <w:r w:rsidRPr="00174721">
        <w:rPr>
          <w:rFonts w:ascii="Arial Narrow" w:hAnsi="Arial Narrow"/>
        </w:rPr>
        <w:tab/>
      </w:r>
    </w:p>
    <w:p w14:paraId="70AAC840" w14:textId="77777777" w:rsidR="00777D3A" w:rsidRPr="00174721" w:rsidRDefault="00777D3A" w:rsidP="00777D3A">
      <w:pPr>
        <w:ind w:left="284"/>
        <w:rPr>
          <w:rFonts w:ascii="Arial Narrow" w:hAnsi="Arial Narrow"/>
        </w:rPr>
      </w:pPr>
      <w:r w:rsidRPr="00174721">
        <w:rPr>
          <w:rFonts w:ascii="Arial Narrow" w:hAnsi="Arial Narrow"/>
        </w:rPr>
        <w:t>Position:</w:t>
      </w:r>
      <w:r w:rsidRPr="00174721">
        <w:rPr>
          <w:rFonts w:ascii="Arial Narrow" w:hAnsi="Arial Narrow"/>
        </w:rPr>
        <w:tab/>
      </w:r>
      <w:r>
        <w:rPr>
          <w:rFonts w:ascii="Arial Narrow" w:hAnsi="Arial Narrow"/>
        </w:rPr>
        <w:tab/>
      </w:r>
    </w:p>
    <w:p w14:paraId="62D12719" w14:textId="77777777" w:rsidR="00777D3A" w:rsidRPr="00174721" w:rsidRDefault="00777D3A" w:rsidP="00777D3A">
      <w:pPr>
        <w:ind w:left="284"/>
        <w:rPr>
          <w:rFonts w:ascii="Arial Narrow" w:hAnsi="Arial Narrow"/>
        </w:rPr>
      </w:pPr>
      <w:r w:rsidRPr="00174721">
        <w:rPr>
          <w:rFonts w:ascii="Arial Narrow" w:hAnsi="Arial Narrow"/>
        </w:rPr>
        <w:t>Date:</w:t>
      </w:r>
    </w:p>
    <w:p w14:paraId="0CD5E0FF" w14:textId="77777777" w:rsidR="00777D3A" w:rsidRPr="00174721" w:rsidRDefault="00777D3A" w:rsidP="00777D3A">
      <w:pPr>
        <w:ind w:right="-329"/>
        <w:rPr>
          <w:rFonts w:ascii="Arial Narrow" w:hAnsi="Arial Narrow"/>
        </w:rPr>
      </w:pPr>
      <w:r w:rsidRPr="00174721">
        <w:rPr>
          <w:rFonts w:ascii="Arial Narrow" w:hAnsi="Arial Narrow"/>
        </w:rPr>
        <w:t>____________________________________________________________________________________</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4"/>
        <w:gridCol w:w="6924"/>
      </w:tblGrid>
      <w:tr w:rsidR="00777D3A" w:rsidRPr="00174721" w14:paraId="2297FDE3" w14:textId="77777777" w:rsidTr="0013063E">
        <w:tc>
          <w:tcPr>
            <w:tcW w:w="1994" w:type="dxa"/>
          </w:tcPr>
          <w:p w14:paraId="0425543B" w14:textId="77777777" w:rsidR="00777D3A" w:rsidRPr="00174721" w:rsidRDefault="00777D3A" w:rsidP="0013063E">
            <w:pPr>
              <w:spacing w:after="240"/>
              <w:rPr>
                <w:rFonts w:ascii="Arial Narrow" w:hAnsi="Arial Narrow"/>
                <w:b/>
              </w:rPr>
            </w:pPr>
            <w:r w:rsidRPr="00174721">
              <w:rPr>
                <w:rFonts w:ascii="Arial Narrow" w:hAnsi="Arial Narrow"/>
                <w:b/>
              </w:rPr>
              <w:t>Project:</w:t>
            </w:r>
          </w:p>
        </w:tc>
        <w:tc>
          <w:tcPr>
            <w:tcW w:w="6924" w:type="dxa"/>
          </w:tcPr>
          <w:p w14:paraId="271D1AC0" w14:textId="77777777" w:rsidR="00777D3A" w:rsidRPr="00174721" w:rsidRDefault="00894C10" w:rsidP="0013063E">
            <w:pPr>
              <w:spacing w:after="240"/>
              <w:rPr>
                <w:rFonts w:ascii="Arial Narrow" w:hAnsi="Arial Narrow"/>
              </w:rPr>
            </w:pPr>
            <w:r>
              <w:rPr>
                <w:rFonts w:ascii="Arial Narrow" w:hAnsi="Arial Narrow"/>
              </w:rPr>
              <w:t>2029 Pacific Mini Games Scoping &amp; Pre-Feasibility</w:t>
            </w:r>
          </w:p>
        </w:tc>
      </w:tr>
      <w:tr w:rsidR="00777D3A" w:rsidRPr="00174721" w14:paraId="00F2263A" w14:textId="77777777" w:rsidTr="0013063E">
        <w:tc>
          <w:tcPr>
            <w:tcW w:w="1994" w:type="dxa"/>
          </w:tcPr>
          <w:p w14:paraId="3BF3A18A" w14:textId="77777777" w:rsidR="00777D3A" w:rsidRPr="00174721" w:rsidRDefault="00777D3A" w:rsidP="0013063E">
            <w:pPr>
              <w:spacing w:after="240"/>
              <w:rPr>
                <w:rFonts w:ascii="Arial Narrow" w:hAnsi="Arial Narrow"/>
                <w:b/>
              </w:rPr>
            </w:pPr>
            <w:r w:rsidRPr="00174721">
              <w:rPr>
                <w:rFonts w:ascii="Arial Narrow" w:hAnsi="Arial Narrow"/>
                <w:b/>
              </w:rPr>
              <w:t>Location:</w:t>
            </w:r>
          </w:p>
        </w:tc>
        <w:tc>
          <w:tcPr>
            <w:tcW w:w="6924" w:type="dxa"/>
          </w:tcPr>
          <w:p w14:paraId="0C890E31" w14:textId="77777777" w:rsidR="00777D3A" w:rsidRPr="00174721" w:rsidRDefault="00777D3A" w:rsidP="0013063E">
            <w:pPr>
              <w:spacing w:after="240"/>
              <w:rPr>
                <w:rFonts w:ascii="Arial Narrow" w:hAnsi="Arial Narrow"/>
              </w:rPr>
            </w:pPr>
            <w:r>
              <w:rPr>
                <w:rFonts w:ascii="Arial Narrow" w:hAnsi="Arial Narrow"/>
              </w:rPr>
              <w:t>Rarotonga</w:t>
            </w:r>
            <w:r w:rsidRPr="00174721">
              <w:rPr>
                <w:rFonts w:ascii="Arial Narrow" w:hAnsi="Arial Narrow"/>
              </w:rPr>
              <w:t>, Cook Islands</w:t>
            </w:r>
          </w:p>
        </w:tc>
      </w:tr>
      <w:tr w:rsidR="00777D3A" w:rsidRPr="00174721" w14:paraId="7CF45D4D" w14:textId="77777777" w:rsidTr="0013063E">
        <w:tc>
          <w:tcPr>
            <w:tcW w:w="1994" w:type="dxa"/>
          </w:tcPr>
          <w:p w14:paraId="64B129ED" w14:textId="77777777" w:rsidR="00777D3A" w:rsidRPr="00174721" w:rsidRDefault="00777D3A" w:rsidP="0013063E">
            <w:pPr>
              <w:spacing w:after="240"/>
              <w:rPr>
                <w:rFonts w:ascii="Arial Narrow" w:hAnsi="Arial Narrow"/>
                <w:b/>
              </w:rPr>
            </w:pPr>
            <w:r w:rsidRPr="00174721">
              <w:rPr>
                <w:rFonts w:ascii="Arial Narrow" w:hAnsi="Arial Narrow"/>
                <w:b/>
              </w:rPr>
              <w:t>Scope and Nature of the Services:</w:t>
            </w:r>
          </w:p>
        </w:tc>
        <w:tc>
          <w:tcPr>
            <w:tcW w:w="6924" w:type="dxa"/>
          </w:tcPr>
          <w:p w14:paraId="7BA26567" w14:textId="77777777" w:rsidR="00777D3A" w:rsidRPr="00AE0745" w:rsidRDefault="00777D3A" w:rsidP="0013063E">
            <w:pPr>
              <w:rPr>
                <w:bCs/>
              </w:rPr>
            </w:pPr>
            <w:r w:rsidRPr="00174721">
              <w:rPr>
                <w:rFonts w:ascii="Arial Narrow" w:hAnsi="Arial Narrow"/>
              </w:rPr>
              <w:t xml:space="preserve">The Consultant is engaged </w:t>
            </w:r>
            <w:r w:rsidR="009B784B">
              <w:rPr>
                <w:rFonts w:ascii="Arial Narrow" w:hAnsi="Arial Narrow"/>
              </w:rPr>
              <w:t>to</w:t>
            </w:r>
            <w:r w:rsidR="009B784B" w:rsidRPr="009B784B">
              <w:rPr>
                <w:rFonts w:ascii="Arial Narrow" w:hAnsi="Arial Narrow"/>
              </w:rPr>
              <w:t xml:space="preserve"> deliver a scoping and pre</w:t>
            </w:r>
            <w:r w:rsidR="009B784B" w:rsidRPr="009B784B">
              <w:rPr>
                <w:rFonts w:ascii="Cambria Math" w:hAnsi="Cambria Math" w:cs="Cambria Math"/>
              </w:rPr>
              <w:t>‑</w:t>
            </w:r>
            <w:r w:rsidR="009B784B" w:rsidRPr="009B784B">
              <w:rPr>
                <w:rFonts w:ascii="Arial Narrow" w:hAnsi="Arial Narrow"/>
              </w:rPr>
              <w:t>feasibility assessment for the 2029 Pacific Mini Games</w:t>
            </w:r>
            <w:r w:rsidR="009B784B">
              <w:rPr>
                <w:rFonts w:ascii="Arial Narrow" w:hAnsi="Arial Narrow"/>
              </w:rPr>
              <w:t xml:space="preserve"> infrastructure programme</w:t>
            </w:r>
            <w:r w:rsidR="009B784B" w:rsidRPr="009B784B">
              <w:rPr>
                <w:rFonts w:ascii="Arial Narrow" w:hAnsi="Arial Narrow"/>
              </w:rPr>
              <w:t>.</w:t>
            </w:r>
            <w:r w:rsidR="009B784B">
              <w:rPr>
                <w:rFonts w:ascii="Arial Narrow" w:hAnsi="Arial Narrow"/>
              </w:rPr>
              <w:t xml:space="preserve"> T</w:t>
            </w:r>
            <w:r>
              <w:rPr>
                <w:rFonts w:ascii="Arial Narrow" w:hAnsi="Arial Narrow"/>
              </w:rPr>
              <w:t xml:space="preserve">he Scope of Services is detailed in the Terms of Reference appended as Annex 1. </w:t>
            </w:r>
          </w:p>
          <w:p w14:paraId="201912D6" w14:textId="77777777" w:rsidR="00777D3A" w:rsidRPr="009B53CC" w:rsidRDefault="00777D3A" w:rsidP="0013063E">
            <w:pPr>
              <w:rPr>
                <w:rFonts w:ascii="Arial Narrow" w:hAnsi="Arial Narrow"/>
              </w:rPr>
            </w:pPr>
            <w:r>
              <w:rPr>
                <w:rFonts w:ascii="Arial Narrow" w:hAnsi="Arial Narrow"/>
              </w:rPr>
              <w:t xml:space="preserve">The </w:t>
            </w:r>
            <w:r w:rsidRPr="00AE0745">
              <w:rPr>
                <w:rFonts w:ascii="Arial Narrow" w:hAnsi="Arial Narrow"/>
              </w:rPr>
              <w:t xml:space="preserve">Consultant </w:t>
            </w:r>
            <w:r>
              <w:rPr>
                <w:rFonts w:ascii="Arial Narrow" w:hAnsi="Arial Narrow"/>
              </w:rPr>
              <w:t xml:space="preserve">may be required to provide additional services relating to the Project. Such additional services and related fees shall be agreed </w:t>
            </w:r>
            <w:r>
              <w:rPr>
                <w:rFonts w:ascii="Arial Narrow" w:hAnsi="Arial Narrow" w:cstheme="majorHAnsi"/>
                <w:bCs/>
              </w:rPr>
              <w:t>by the named representatives of both the Principal and Consultant,</w:t>
            </w:r>
            <w:r>
              <w:rPr>
                <w:rFonts w:ascii="Arial Narrow" w:hAnsi="Arial Narrow"/>
              </w:rPr>
              <w:t xml:space="preserve"> in writing, prior to the work being carried out. </w:t>
            </w:r>
            <w:r w:rsidRPr="00AE0745">
              <w:rPr>
                <w:rFonts w:ascii="Arial Narrow" w:hAnsi="Arial Narrow"/>
              </w:rPr>
              <w:t xml:space="preserve"> </w:t>
            </w:r>
          </w:p>
        </w:tc>
      </w:tr>
      <w:tr w:rsidR="00777D3A" w:rsidRPr="00174721" w14:paraId="7C0F2D8D" w14:textId="77777777" w:rsidTr="0013063E">
        <w:tc>
          <w:tcPr>
            <w:tcW w:w="1994" w:type="dxa"/>
          </w:tcPr>
          <w:p w14:paraId="45AC50B4" w14:textId="77777777" w:rsidR="00777D3A" w:rsidRPr="00174721" w:rsidRDefault="00777D3A" w:rsidP="0013063E">
            <w:pPr>
              <w:spacing w:after="240"/>
              <w:rPr>
                <w:rFonts w:ascii="Arial Narrow" w:hAnsi="Arial Narrow"/>
                <w:b/>
              </w:rPr>
            </w:pPr>
            <w:r w:rsidRPr="00174721">
              <w:rPr>
                <w:rFonts w:ascii="Arial Narrow" w:hAnsi="Arial Narrow"/>
                <w:b/>
              </w:rPr>
              <w:t>Programme for the Services:</w:t>
            </w:r>
          </w:p>
        </w:tc>
        <w:tc>
          <w:tcPr>
            <w:tcW w:w="6924" w:type="dxa"/>
          </w:tcPr>
          <w:p w14:paraId="7EA0DB6F" w14:textId="1467B01D" w:rsidR="00777D3A" w:rsidRPr="004B3706" w:rsidRDefault="00777D3A" w:rsidP="00D926EE">
            <w:pPr>
              <w:spacing w:after="240"/>
              <w:rPr>
                <w:rFonts w:ascii="Arial Narrow" w:hAnsi="Arial Narrow"/>
              </w:rPr>
            </w:pPr>
            <w:r w:rsidRPr="00174721">
              <w:rPr>
                <w:rFonts w:ascii="Arial Narrow" w:hAnsi="Arial Narrow"/>
              </w:rPr>
              <w:t>This engagement is for</w:t>
            </w:r>
            <w:r>
              <w:rPr>
                <w:rFonts w:ascii="Arial Narrow" w:hAnsi="Arial Narrow"/>
              </w:rPr>
              <w:t xml:space="preserve"> a</w:t>
            </w:r>
            <w:r w:rsidRPr="00174721">
              <w:rPr>
                <w:rFonts w:ascii="Arial Narrow" w:hAnsi="Arial Narrow"/>
              </w:rPr>
              <w:t xml:space="preserve"> period of </w:t>
            </w:r>
            <w:r w:rsidR="00E402CB">
              <w:rPr>
                <w:rFonts w:ascii="Arial Narrow" w:hAnsi="Arial Narrow"/>
              </w:rPr>
              <w:t>three</w:t>
            </w:r>
            <w:r>
              <w:rPr>
                <w:rFonts w:ascii="Arial Narrow" w:hAnsi="Arial Narrow"/>
              </w:rPr>
              <w:t xml:space="preserve"> (</w:t>
            </w:r>
            <w:r w:rsidR="00E402CB">
              <w:rPr>
                <w:rFonts w:ascii="Arial Narrow" w:hAnsi="Arial Narrow"/>
              </w:rPr>
              <w:t>3</w:t>
            </w:r>
            <w:r>
              <w:rPr>
                <w:rFonts w:ascii="Arial Narrow" w:hAnsi="Arial Narrow"/>
              </w:rPr>
              <w:t xml:space="preserve">) </w:t>
            </w:r>
            <w:r w:rsidRPr="00174721">
              <w:rPr>
                <w:rFonts w:ascii="Arial Narrow" w:hAnsi="Arial Narrow"/>
              </w:rPr>
              <w:t>months, commencing</w:t>
            </w:r>
            <w:r>
              <w:rPr>
                <w:rFonts w:ascii="Arial Narrow" w:hAnsi="Arial Narrow"/>
              </w:rPr>
              <w:t xml:space="preserve"> </w:t>
            </w:r>
            <w:r>
              <w:rPr>
                <w:rFonts w:ascii="Arial Narrow" w:hAnsi="Arial Narrow"/>
                <w:b/>
              </w:rPr>
              <w:t>XXXX 202</w:t>
            </w:r>
            <w:r w:rsidR="00D926EE">
              <w:rPr>
                <w:rFonts w:ascii="Arial Narrow" w:hAnsi="Arial Narrow"/>
                <w:b/>
              </w:rPr>
              <w:t>6</w:t>
            </w:r>
            <w:r>
              <w:rPr>
                <w:rFonts w:ascii="Arial Narrow" w:hAnsi="Arial Narrow"/>
                <w:b/>
              </w:rPr>
              <w:t xml:space="preserve"> </w:t>
            </w:r>
            <w:r>
              <w:rPr>
                <w:rFonts w:ascii="Arial Narrow" w:hAnsi="Arial Narrow"/>
              </w:rPr>
              <w:t xml:space="preserve">and ending </w:t>
            </w:r>
            <w:r>
              <w:rPr>
                <w:rFonts w:ascii="Arial Narrow" w:hAnsi="Arial Narrow"/>
                <w:b/>
              </w:rPr>
              <w:t>XXXX</w:t>
            </w:r>
            <w:r w:rsidRPr="00AE0745">
              <w:rPr>
                <w:rFonts w:ascii="Arial Narrow" w:hAnsi="Arial Narrow"/>
                <w:b/>
              </w:rPr>
              <w:t xml:space="preserve"> 202</w:t>
            </w:r>
            <w:r w:rsidR="00D926EE">
              <w:rPr>
                <w:rFonts w:ascii="Arial Narrow" w:hAnsi="Arial Narrow"/>
                <w:b/>
              </w:rPr>
              <w:t>6</w:t>
            </w:r>
            <w:r w:rsidRPr="00174721">
              <w:rPr>
                <w:rFonts w:ascii="Arial Narrow" w:hAnsi="Arial Narrow"/>
              </w:rPr>
              <w:t>, unless</w:t>
            </w:r>
            <w:r>
              <w:rPr>
                <w:rFonts w:ascii="Arial Narrow" w:hAnsi="Arial Narrow"/>
              </w:rPr>
              <w:t xml:space="preserve"> extended in writing with the agreement of both parties. </w:t>
            </w:r>
          </w:p>
        </w:tc>
      </w:tr>
      <w:tr w:rsidR="00777D3A" w:rsidRPr="00174721" w14:paraId="62CFD355" w14:textId="77777777" w:rsidTr="0013063E">
        <w:tc>
          <w:tcPr>
            <w:tcW w:w="1994" w:type="dxa"/>
          </w:tcPr>
          <w:p w14:paraId="6D5380B7" w14:textId="77777777" w:rsidR="00777D3A" w:rsidRPr="00174721" w:rsidRDefault="00777D3A" w:rsidP="0013063E">
            <w:pPr>
              <w:spacing w:after="240"/>
              <w:rPr>
                <w:rFonts w:ascii="Arial Narrow" w:hAnsi="Arial Narrow"/>
                <w:b/>
              </w:rPr>
            </w:pPr>
            <w:r w:rsidRPr="00174721">
              <w:rPr>
                <w:rFonts w:ascii="Arial Narrow" w:hAnsi="Arial Narrow"/>
                <w:b/>
              </w:rPr>
              <w:lastRenderedPageBreak/>
              <w:t>Fees and Timing of Payments:</w:t>
            </w:r>
          </w:p>
          <w:p w14:paraId="377DEE7B" w14:textId="77777777" w:rsidR="00777D3A" w:rsidRPr="00174721" w:rsidRDefault="00777D3A" w:rsidP="0013063E">
            <w:pPr>
              <w:spacing w:after="240"/>
              <w:rPr>
                <w:rFonts w:ascii="Arial Narrow" w:hAnsi="Arial Narrow"/>
                <w:b/>
              </w:rPr>
            </w:pPr>
          </w:p>
        </w:tc>
        <w:tc>
          <w:tcPr>
            <w:tcW w:w="6924" w:type="dxa"/>
          </w:tcPr>
          <w:p w14:paraId="7532C437" w14:textId="77777777" w:rsidR="00777D3A" w:rsidRDefault="00777D3A" w:rsidP="0013063E">
            <w:pPr>
              <w:rPr>
                <w:rFonts w:ascii="Arial Narrow" w:hAnsi="Arial Narrow"/>
              </w:rPr>
            </w:pPr>
            <w:r w:rsidRPr="00453ED7">
              <w:rPr>
                <w:rFonts w:ascii="Arial Narrow" w:hAnsi="Arial Narrow"/>
              </w:rPr>
              <w:t xml:space="preserve">The </w:t>
            </w:r>
            <w:proofErr w:type="gramStart"/>
            <w:r w:rsidRPr="00453ED7">
              <w:rPr>
                <w:rFonts w:ascii="Arial Narrow" w:hAnsi="Arial Narrow"/>
              </w:rPr>
              <w:t>Principal</w:t>
            </w:r>
            <w:proofErr w:type="gramEnd"/>
            <w:r w:rsidRPr="00453ED7">
              <w:rPr>
                <w:rFonts w:ascii="Arial Narrow" w:hAnsi="Arial Narrow"/>
              </w:rPr>
              <w:t xml:space="preserve"> agrees to pay the Consultant </w:t>
            </w:r>
            <w:r>
              <w:rPr>
                <w:rFonts w:ascii="Arial Narrow" w:hAnsi="Arial Narrow"/>
              </w:rPr>
              <w:t>the lump sum fees and expenses as follows:</w:t>
            </w:r>
          </w:p>
          <w:p w14:paraId="379E6286" w14:textId="77777777" w:rsidR="00777D3A" w:rsidRPr="0010303C" w:rsidRDefault="00777D3A" w:rsidP="0013063E">
            <w:pPr>
              <w:autoSpaceDE w:val="0"/>
              <w:autoSpaceDN w:val="0"/>
              <w:adjustRightInd w:val="0"/>
              <w:rPr>
                <w:rFonts w:ascii="Arial Narrow" w:hAnsi="Arial Narrow"/>
                <w:u w:val="single"/>
              </w:rPr>
            </w:pPr>
            <w:r w:rsidRPr="0010303C">
              <w:rPr>
                <w:rFonts w:ascii="Arial Narrow" w:hAnsi="Arial Narrow"/>
                <w:u w:val="single"/>
              </w:rPr>
              <w:t>Fees:</w:t>
            </w:r>
          </w:p>
          <w:tbl>
            <w:tblPr>
              <w:tblStyle w:val="TableGrid"/>
              <w:tblW w:w="0" w:type="auto"/>
              <w:tblLook w:val="04A0" w:firstRow="1" w:lastRow="0" w:firstColumn="1" w:lastColumn="0" w:noHBand="0" w:noVBand="1"/>
            </w:tblPr>
            <w:tblGrid>
              <w:gridCol w:w="475"/>
              <w:gridCol w:w="4818"/>
              <w:gridCol w:w="1405"/>
            </w:tblGrid>
            <w:tr w:rsidR="00777D3A" w:rsidRPr="00A45B87" w14:paraId="2B493C5B" w14:textId="77777777" w:rsidTr="0013063E">
              <w:trPr>
                <w:trHeight w:val="170"/>
              </w:trPr>
              <w:tc>
                <w:tcPr>
                  <w:tcW w:w="475" w:type="dxa"/>
                  <w:shd w:val="clear" w:color="auto" w:fill="D9D9D9" w:themeFill="background1" w:themeFillShade="D9"/>
                  <w:vAlign w:val="center"/>
                </w:tcPr>
                <w:p w14:paraId="523681ED" w14:textId="77777777" w:rsidR="00777D3A" w:rsidRPr="00A45B87" w:rsidRDefault="00777D3A" w:rsidP="0013063E">
                  <w:pPr>
                    <w:rPr>
                      <w:rFonts w:ascii="Arial Narrow" w:hAnsi="Arial Narrow"/>
                      <w:sz w:val="18"/>
                    </w:rPr>
                  </w:pPr>
                  <w:r w:rsidRPr="00A45B87">
                    <w:rPr>
                      <w:rFonts w:ascii="Arial Narrow" w:hAnsi="Arial Narrow"/>
                      <w:sz w:val="18"/>
                    </w:rPr>
                    <w:t>No.</w:t>
                  </w:r>
                </w:p>
              </w:tc>
              <w:tc>
                <w:tcPr>
                  <w:tcW w:w="4819" w:type="dxa"/>
                  <w:shd w:val="clear" w:color="auto" w:fill="D9D9D9" w:themeFill="background1" w:themeFillShade="D9"/>
                  <w:vAlign w:val="center"/>
                </w:tcPr>
                <w:p w14:paraId="1023335F" w14:textId="77777777" w:rsidR="00777D3A" w:rsidRPr="00A45B87" w:rsidRDefault="00777D3A" w:rsidP="0013063E">
                  <w:pPr>
                    <w:rPr>
                      <w:rFonts w:ascii="Arial Narrow" w:hAnsi="Arial Narrow"/>
                      <w:sz w:val="18"/>
                    </w:rPr>
                  </w:pPr>
                  <w:r w:rsidRPr="00A45B87">
                    <w:rPr>
                      <w:rFonts w:ascii="Arial Narrow" w:hAnsi="Arial Narrow"/>
                      <w:sz w:val="18"/>
                    </w:rPr>
                    <w:t>Deliverable</w:t>
                  </w:r>
                </w:p>
              </w:tc>
              <w:tc>
                <w:tcPr>
                  <w:tcW w:w="1405" w:type="dxa"/>
                  <w:shd w:val="clear" w:color="auto" w:fill="D9D9D9" w:themeFill="background1" w:themeFillShade="D9"/>
                  <w:vAlign w:val="center"/>
                </w:tcPr>
                <w:p w14:paraId="317687EC" w14:textId="77777777" w:rsidR="00777D3A" w:rsidRPr="00A45B87" w:rsidRDefault="00777D3A" w:rsidP="0013063E">
                  <w:pPr>
                    <w:jc w:val="center"/>
                    <w:rPr>
                      <w:rFonts w:ascii="Arial Narrow" w:hAnsi="Arial Narrow"/>
                      <w:sz w:val="18"/>
                    </w:rPr>
                  </w:pPr>
                  <w:r w:rsidRPr="00A45B87">
                    <w:rPr>
                      <w:rFonts w:ascii="Arial Narrow" w:hAnsi="Arial Narrow"/>
                      <w:sz w:val="18"/>
                    </w:rPr>
                    <w:t>Lump Sum Total Fee (NZD)</w:t>
                  </w:r>
                </w:p>
              </w:tc>
            </w:tr>
            <w:tr w:rsidR="00777D3A" w:rsidRPr="00A45B87" w14:paraId="2EA6FA16" w14:textId="77777777" w:rsidTr="0013063E">
              <w:trPr>
                <w:trHeight w:val="170"/>
              </w:trPr>
              <w:tc>
                <w:tcPr>
                  <w:tcW w:w="475" w:type="dxa"/>
                  <w:vAlign w:val="center"/>
                </w:tcPr>
                <w:p w14:paraId="339D3DCF" w14:textId="77777777" w:rsidR="00777D3A" w:rsidRPr="00A45B87" w:rsidRDefault="00777D3A" w:rsidP="0013063E">
                  <w:pPr>
                    <w:rPr>
                      <w:rFonts w:ascii="Arial Narrow" w:hAnsi="Arial Narrow"/>
                      <w:sz w:val="18"/>
                    </w:rPr>
                  </w:pPr>
                </w:p>
              </w:tc>
              <w:tc>
                <w:tcPr>
                  <w:tcW w:w="4819" w:type="dxa"/>
                  <w:vAlign w:val="center"/>
                </w:tcPr>
                <w:p w14:paraId="3259045E" w14:textId="77777777" w:rsidR="00777D3A" w:rsidRPr="00A45B87" w:rsidRDefault="00777D3A" w:rsidP="0013063E">
                  <w:pPr>
                    <w:autoSpaceDE w:val="0"/>
                    <w:autoSpaceDN w:val="0"/>
                    <w:adjustRightInd w:val="0"/>
                    <w:rPr>
                      <w:rFonts w:ascii="Arial Narrow" w:hAnsi="Arial Narrow"/>
                      <w:sz w:val="18"/>
                    </w:rPr>
                  </w:pPr>
                </w:p>
              </w:tc>
              <w:tc>
                <w:tcPr>
                  <w:tcW w:w="1405" w:type="dxa"/>
                  <w:vAlign w:val="center"/>
                </w:tcPr>
                <w:p w14:paraId="1C095FA5" w14:textId="77777777" w:rsidR="00777D3A" w:rsidRPr="00A45B87" w:rsidRDefault="00777D3A" w:rsidP="0013063E">
                  <w:pPr>
                    <w:jc w:val="center"/>
                    <w:rPr>
                      <w:rFonts w:ascii="Arial Narrow" w:hAnsi="Arial Narrow"/>
                      <w:sz w:val="18"/>
                    </w:rPr>
                  </w:pPr>
                </w:p>
              </w:tc>
            </w:tr>
            <w:tr w:rsidR="00777D3A" w:rsidRPr="00A45B87" w14:paraId="034629A8" w14:textId="77777777" w:rsidTr="0013063E">
              <w:trPr>
                <w:trHeight w:val="170"/>
              </w:trPr>
              <w:tc>
                <w:tcPr>
                  <w:tcW w:w="475" w:type="dxa"/>
                  <w:vAlign w:val="center"/>
                </w:tcPr>
                <w:p w14:paraId="56D4D9DC" w14:textId="77777777" w:rsidR="00777D3A" w:rsidRPr="00A45B87" w:rsidRDefault="00777D3A" w:rsidP="0013063E">
                  <w:pPr>
                    <w:rPr>
                      <w:rFonts w:ascii="Arial Narrow" w:hAnsi="Arial Narrow"/>
                      <w:sz w:val="18"/>
                    </w:rPr>
                  </w:pPr>
                </w:p>
              </w:tc>
              <w:tc>
                <w:tcPr>
                  <w:tcW w:w="4819" w:type="dxa"/>
                  <w:vAlign w:val="center"/>
                </w:tcPr>
                <w:p w14:paraId="3EB6ABC8" w14:textId="77777777" w:rsidR="00777D3A" w:rsidRPr="00A45B87" w:rsidRDefault="00777D3A" w:rsidP="0013063E">
                  <w:pPr>
                    <w:rPr>
                      <w:rFonts w:ascii="Arial Narrow" w:hAnsi="Arial Narrow"/>
                      <w:sz w:val="18"/>
                    </w:rPr>
                  </w:pPr>
                </w:p>
              </w:tc>
              <w:tc>
                <w:tcPr>
                  <w:tcW w:w="1405" w:type="dxa"/>
                  <w:vAlign w:val="center"/>
                </w:tcPr>
                <w:p w14:paraId="00E8EFDA" w14:textId="77777777" w:rsidR="00777D3A" w:rsidRPr="00A45B87" w:rsidRDefault="00777D3A" w:rsidP="0013063E">
                  <w:pPr>
                    <w:jc w:val="center"/>
                    <w:rPr>
                      <w:rFonts w:ascii="Arial Narrow" w:hAnsi="Arial Narrow"/>
                      <w:sz w:val="18"/>
                    </w:rPr>
                  </w:pPr>
                </w:p>
              </w:tc>
            </w:tr>
            <w:tr w:rsidR="00777D3A" w:rsidRPr="00A45B87" w14:paraId="0CAC817F" w14:textId="77777777" w:rsidTr="0013063E">
              <w:trPr>
                <w:trHeight w:val="170"/>
              </w:trPr>
              <w:tc>
                <w:tcPr>
                  <w:tcW w:w="475" w:type="dxa"/>
                  <w:vAlign w:val="center"/>
                </w:tcPr>
                <w:p w14:paraId="35B8D2FF" w14:textId="77777777" w:rsidR="00777D3A" w:rsidRPr="00A45B87" w:rsidRDefault="00777D3A" w:rsidP="0013063E">
                  <w:pPr>
                    <w:rPr>
                      <w:rFonts w:ascii="Arial Narrow" w:hAnsi="Arial Narrow"/>
                      <w:sz w:val="18"/>
                    </w:rPr>
                  </w:pPr>
                </w:p>
              </w:tc>
              <w:tc>
                <w:tcPr>
                  <w:tcW w:w="4819" w:type="dxa"/>
                  <w:vAlign w:val="center"/>
                </w:tcPr>
                <w:p w14:paraId="0E83521F" w14:textId="77777777" w:rsidR="00777D3A" w:rsidRPr="00A45B87" w:rsidRDefault="00777D3A" w:rsidP="0013063E">
                  <w:pPr>
                    <w:autoSpaceDE w:val="0"/>
                    <w:autoSpaceDN w:val="0"/>
                    <w:adjustRightInd w:val="0"/>
                    <w:rPr>
                      <w:rFonts w:ascii="Arial Narrow" w:hAnsi="Arial Narrow"/>
                      <w:sz w:val="18"/>
                    </w:rPr>
                  </w:pPr>
                </w:p>
              </w:tc>
              <w:tc>
                <w:tcPr>
                  <w:tcW w:w="1405" w:type="dxa"/>
                  <w:vAlign w:val="center"/>
                </w:tcPr>
                <w:p w14:paraId="5EF23372" w14:textId="77777777" w:rsidR="00777D3A" w:rsidRPr="00A45B87" w:rsidRDefault="00777D3A" w:rsidP="0013063E">
                  <w:pPr>
                    <w:jc w:val="center"/>
                    <w:rPr>
                      <w:rFonts w:ascii="Arial Narrow" w:hAnsi="Arial Narrow"/>
                      <w:sz w:val="18"/>
                    </w:rPr>
                  </w:pPr>
                </w:p>
              </w:tc>
            </w:tr>
            <w:tr w:rsidR="00777D3A" w:rsidRPr="00A45B87" w14:paraId="44385149" w14:textId="77777777" w:rsidTr="0013063E">
              <w:trPr>
                <w:trHeight w:val="170"/>
              </w:trPr>
              <w:tc>
                <w:tcPr>
                  <w:tcW w:w="5294" w:type="dxa"/>
                  <w:gridSpan w:val="2"/>
                  <w:vAlign w:val="center"/>
                </w:tcPr>
                <w:p w14:paraId="50F099E3" w14:textId="77777777" w:rsidR="00777D3A" w:rsidRPr="00A45B87" w:rsidRDefault="00777D3A" w:rsidP="0013063E">
                  <w:pPr>
                    <w:rPr>
                      <w:rFonts w:ascii="Arial Narrow" w:hAnsi="Arial Narrow"/>
                      <w:b/>
                      <w:sz w:val="18"/>
                    </w:rPr>
                  </w:pPr>
                  <w:r w:rsidRPr="00A45B87">
                    <w:rPr>
                      <w:rFonts w:ascii="Arial Narrow" w:hAnsi="Arial Narrow"/>
                      <w:b/>
                      <w:sz w:val="18"/>
                    </w:rPr>
                    <w:t>Total</w:t>
                  </w:r>
                </w:p>
              </w:tc>
              <w:tc>
                <w:tcPr>
                  <w:tcW w:w="1405" w:type="dxa"/>
                  <w:vAlign w:val="center"/>
                </w:tcPr>
                <w:p w14:paraId="394C6E82" w14:textId="77777777" w:rsidR="00777D3A" w:rsidRPr="00A45B87" w:rsidRDefault="00777D3A" w:rsidP="0013063E">
                  <w:pPr>
                    <w:jc w:val="center"/>
                    <w:rPr>
                      <w:rFonts w:ascii="Arial Narrow" w:hAnsi="Arial Narrow"/>
                      <w:b/>
                      <w:sz w:val="18"/>
                    </w:rPr>
                  </w:pPr>
                </w:p>
              </w:tc>
            </w:tr>
          </w:tbl>
          <w:p w14:paraId="3F93321D" w14:textId="77777777" w:rsidR="00777D3A" w:rsidRDefault="00777D3A" w:rsidP="0013063E">
            <w:pPr>
              <w:autoSpaceDE w:val="0"/>
              <w:autoSpaceDN w:val="0"/>
              <w:adjustRightInd w:val="0"/>
              <w:rPr>
                <w:rFonts w:ascii="CIDFont+F1" w:hAnsi="CIDFont+F1" w:cs="CIDFont+F1"/>
                <w:lang w:val="en-AU"/>
              </w:rPr>
            </w:pPr>
          </w:p>
          <w:p w14:paraId="0CF65F26" w14:textId="77777777" w:rsidR="00777D3A" w:rsidRPr="006159E2" w:rsidRDefault="00777D3A" w:rsidP="0013063E">
            <w:pPr>
              <w:autoSpaceDE w:val="0"/>
              <w:autoSpaceDN w:val="0"/>
              <w:adjustRightInd w:val="0"/>
              <w:rPr>
                <w:rFonts w:ascii="Arial Narrow" w:hAnsi="Arial Narrow"/>
              </w:rPr>
            </w:pPr>
            <w:r w:rsidRPr="006159E2">
              <w:rPr>
                <w:rFonts w:ascii="Arial Narrow" w:hAnsi="Arial Narrow"/>
              </w:rPr>
              <w:t xml:space="preserve">Fees </w:t>
            </w:r>
            <w:r>
              <w:rPr>
                <w:rFonts w:ascii="Arial Narrow" w:hAnsi="Arial Narrow"/>
              </w:rPr>
              <w:t>shall</w:t>
            </w:r>
            <w:r w:rsidRPr="006159E2">
              <w:rPr>
                <w:rFonts w:ascii="Arial Narrow" w:hAnsi="Arial Narrow"/>
              </w:rPr>
              <w:t xml:space="preserve"> be invoiced </w:t>
            </w:r>
            <w:r>
              <w:rPr>
                <w:rFonts w:ascii="Arial Narrow" w:hAnsi="Arial Narrow"/>
              </w:rPr>
              <w:t>on a monthly basis</w:t>
            </w:r>
            <w:r w:rsidRPr="006159E2">
              <w:rPr>
                <w:rFonts w:ascii="Arial Narrow" w:hAnsi="Arial Narrow"/>
              </w:rPr>
              <w:t>, with progress claims proportionate to the work undertaken in the previous month.</w:t>
            </w:r>
          </w:p>
          <w:p w14:paraId="62ACFBC3" w14:textId="77777777" w:rsidR="00777D3A" w:rsidRPr="0010303C" w:rsidRDefault="00777D3A" w:rsidP="0013063E">
            <w:pPr>
              <w:autoSpaceDE w:val="0"/>
              <w:autoSpaceDN w:val="0"/>
              <w:adjustRightInd w:val="0"/>
              <w:rPr>
                <w:rFonts w:ascii="Arial Narrow" w:hAnsi="Arial Narrow"/>
                <w:u w:val="single"/>
              </w:rPr>
            </w:pPr>
            <w:r w:rsidRPr="0010303C">
              <w:rPr>
                <w:rFonts w:ascii="Arial Narrow" w:hAnsi="Arial Narrow"/>
                <w:u w:val="single"/>
              </w:rPr>
              <w:t>Expenses:</w:t>
            </w:r>
          </w:p>
          <w:p w14:paraId="21434235" w14:textId="77777777" w:rsidR="00777D3A" w:rsidRDefault="00777D3A" w:rsidP="0013063E">
            <w:pPr>
              <w:autoSpaceDE w:val="0"/>
              <w:autoSpaceDN w:val="0"/>
              <w:adjustRightInd w:val="0"/>
              <w:rPr>
                <w:rFonts w:ascii="CIDFont+F1" w:hAnsi="CIDFont+F1" w:cs="CIDFont+F1"/>
                <w:lang w:val="en-AU"/>
              </w:rPr>
            </w:pPr>
            <w:r w:rsidRPr="00A45B87">
              <w:rPr>
                <w:rFonts w:ascii="Arial Narrow" w:hAnsi="Arial Narrow"/>
              </w:rPr>
              <w:t>Up to $</w:t>
            </w:r>
            <w:r>
              <w:rPr>
                <w:rFonts w:ascii="Arial Narrow" w:hAnsi="Arial Narrow"/>
              </w:rPr>
              <w:t>XXXX</w:t>
            </w:r>
            <w:r w:rsidRPr="00A45B87">
              <w:rPr>
                <w:rFonts w:ascii="Arial Narrow" w:hAnsi="Arial Narrow"/>
              </w:rPr>
              <w:t xml:space="preserve"> will be reimbursed for </w:t>
            </w:r>
            <w:r>
              <w:rPr>
                <w:rFonts w:ascii="Arial Narrow" w:hAnsi="Arial Narrow"/>
              </w:rPr>
              <w:t xml:space="preserve">approved expenses. </w:t>
            </w:r>
            <w:r w:rsidRPr="00A45B87">
              <w:rPr>
                <w:rFonts w:ascii="Arial Narrow" w:hAnsi="Arial Narrow"/>
              </w:rPr>
              <w:t xml:space="preserve"> Expen</w:t>
            </w:r>
            <w:r>
              <w:rPr>
                <w:rFonts w:ascii="Arial Narrow" w:hAnsi="Arial Narrow"/>
              </w:rPr>
              <w:t xml:space="preserve">ses may be invoiced as the expenses are incurred. </w:t>
            </w:r>
          </w:p>
          <w:p w14:paraId="2C4FA0FB" w14:textId="77777777" w:rsidR="00777D3A" w:rsidRPr="0010303C" w:rsidRDefault="00777D3A" w:rsidP="0013063E">
            <w:pPr>
              <w:autoSpaceDE w:val="0"/>
              <w:autoSpaceDN w:val="0"/>
              <w:adjustRightInd w:val="0"/>
              <w:rPr>
                <w:rFonts w:ascii="Arial Narrow" w:hAnsi="Arial Narrow"/>
                <w:u w:val="single"/>
              </w:rPr>
            </w:pPr>
            <w:r w:rsidRPr="0010303C">
              <w:rPr>
                <w:rFonts w:ascii="Arial Narrow" w:hAnsi="Arial Narrow"/>
                <w:u w:val="single"/>
              </w:rPr>
              <w:t>Timing of payments:</w:t>
            </w:r>
          </w:p>
          <w:p w14:paraId="05DF79BB" w14:textId="77777777" w:rsidR="00777D3A" w:rsidRDefault="00777D3A" w:rsidP="0013063E">
            <w:pPr>
              <w:autoSpaceDE w:val="0"/>
              <w:autoSpaceDN w:val="0"/>
              <w:adjustRightInd w:val="0"/>
              <w:rPr>
                <w:rFonts w:ascii="Arial Narrow" w:hAnsi="Arial Narrow"/>
              </w:rPr>
            </w:pPr>
            <w:r w:rsidRPr="00474E3C">
              <w:rPr>
                <w:rFonts w:ascii="Arial Narrow" w:hAnsi="Arial Narrow"/>
              </w:rPr>
              <w:t xml:space="preserve">Unless disputed, </w:t>
            </w:r>
            <w:r>
              <w:rPr>
                <w:rFonts w:ascii="Arial Narrow" w:hAnsi="Arial Narrow"/>
              </w:rPr>
              <w:t>p</w:t>
            </w:r>
            <w:r w:rsidRPr="00474E3C">
              <w:rPr>
                <w:rFonts w:ascii="Arial Narrow" w:hAnsi="Arial Narrow"/>
              </w:rPr>
              <w:t>ayments will be made by bank transfer to the Consultant’s nominated account within ten (10) working days of receipt of an invoice.</w:t>
            </w:r>
          </w:p>
          <w:p w14:paraId="694DA56A" w14:textId="77777777" w:rsidR="00777D3A" w:rsidRPr="00174721" w:rsidRDefault="00777D3A" w:rsidP="0013063E">
            <w:pPr>
              <w:autoSpaceDE w:val="0"/>
              <w:autoSpaceDN w:val="0"/>
              <w:adjustRightInd w:val="0"/>
              <w:rPr>
                <w:rFonts w:ascii="Arial Narrow" w:hAnsi="Arial Narrow"/>
              </w:rPr>
            </w:pPr>
            <w:r w:rsidRPr="00474E3C">
              <w:rPr>
                <w:rFonts w:ascii="Arial Narrow" w:hAnsi="Arial Narrow"/>
              </w:rPr>
              <w:t xml:space="preserve">  </w:t>
            </w:r>
          </w:p>
        </w:tc>
      </w:tr>
      <w:tr w:rsidR="00777D3A" w:rsidRPr="00174721" w14:paraId="1826FD25" w14:textId="77777777" w:rsidTr="0013063E">
        <w:tc>
          <w:tcPr>
            <w:tcW w:w="1994" w:type="dxa"/>
          </w:tcPr>
          <w:p w14:paraId="59EB5F6F" w14:textId="77777777" w:rsidR="00777D3A" w:rsidRPr="00174721" w:rsidRDefault="00777D3A" w:rsidP="0013063E">
            <w:pPr>
              <w:spacing w:after="240"/>
              <w:rPr>
                <w:rFonts w:ascii="Arial Narrow" w:hAnsi="Arial Narrow"/>
                <w:b/>
              </w:rPr>
            </w:pPr>
            <w:r w:rsidRPr="00174721">
              <w:rPr>
                <w:rFonts w:ascii="Arial Narrow" w:hAnsi="Arial Narrow"/>
                <w:b/>
              </w:rPr>
              <w:t>Insurances:</w:t>
            </w:r>
          </w:p>
        </w:tc>
        <w:tc>
          <w:tcPr>
            <w:tcW w:w="6924" w:type="dxa"/>
          </w:tcPr>
          <w:p w14:paraId="35B91352" w14:textId="77777777" w:rsidR="00777D3A" w:rsidRPr="00453ED7" w:rsidRDefault="00777D3A" w:rsidP="0013063E">
            <w:pPr>
              <w:pStyle w:val="ListParagraph"/>
              <w:spacing w:after="240"/>
              <w:ind w:left="34"/>
              <w:contextualSpacing w:val="0"/>
              <w:rPr>
                <w:rFonts w:ascii="Arial Narrow" w:hAnsi="Arial Narrow"/>
              </w:rPr>
            </w:pPr>
            <w:r>
              <w:rPr>
                <w:rFonts w:ascii="Arial Narrow" w:hAnsi="Arial Narrow"/>
              </w:rPr>
              <w:t>Nil</w:t>
            </w:r>
            <w:r w:rsidRPr="00174721">
              <w:rPr>
                <w:rFonts w:ascii="Arial Narrow" w:hAnsi="Arial Narrow"/>
              </w:rPr>
              <w:t xml:space="preserve"> </w:t>
            </w:r>
          </w:p>
        </w:tc>
      </w:tr>
      <w:tr w:rsidR="00777D3A" w:rsidRPr="00174721" w14:paraId="4C48D43F" w14:textId="77777777" w:rsidTr="0013063E">
        <w:tc>
          <w:tcPr>
            <w:tcW w:w="1994" w:type="dxa"/>
          </w:tcPr>
          <w:p w14:paraId="2ACA2B71" w14:textId="77777777" w:rsidR="00777D3A" w:rsidRPr="00174721" w:rsidRDefault="00777D3A" w:rsidP="0013063E">
            <w:pPr>
              <w:spacing w:after="240"/>
              <w:rPr>
                <w:rFonts w:ascii="Arial Narrow" w:hAnsi="Arial Narrow"/>
                <w:b/>
              </w:rPr>
            </w:pPr>
            <w:r>
              <w:rPr>
                <w:rFonts w:ascii="Arial Narrow" w:hAnsi="Arial Narrow"/>
                <w:b/>
              </w:rPr>
              <w:t>Principals Representative:</w:t>
            </w:r>
          </w:p>
        </w:tc>
        <w:tc>
          <w:tcPr>
            <w:tcW w:w="6924" w:type="dxa"/>
          </w:tcPr>
          <w:p w14:paraId="28F14DF7" w14:textId="6761D86E" w:rsidR="00777D3A" w:rsidRPr="00174721" w:rsidRDefault="00283512" w:rsidP="0013063E">
            <w:pPr>
              <w:pStyle w:val="ListParagraph"/>
              <w:spacing w:after="240"/>
              <w:ind w:left="34"/>
              <w:contextualSpacing w:val="0"/>
              <w:rPr>
                <w:rFonts w:ascii="Arial Narrow" w:hAnsi="Arial Narrow"/>
              </w:rPr>
            </w:pPr>
            <w:r>
              <w:rPr>
                <w:rFonts w:ascii="Arial Narrow" w:hAnsi="Arial Narrow"/>
              </w:rPr>
              <w:t>Vasie Poila</w:t>
            </w:r>
            <w:r w:rsidR="00777D3A">
              <w:rPr>
                <w:rFonts w:ascii="Arial Narrow" w:hAnsi="Arial Narrow"/>
              </w:rPr>
              <w:t xml:space="preserve">, General Manager, Asset </w:t>
            </w:r>
            <w:r>
              <w:rPr>
                <w:rFonts w:ascii="Arial Narrow" w:hAnsi="Arial Narrow"/>
              </w:rPr>
              <w:t>Management</w:t>
            </w:r>
          </w:p>
        </w:tc>
      </w:tr>
      <w:tr w:rsidR="00777D3A" w:rsidRPr="00174721" w14:paraId="0753C62B" w14:textId="77777777" w:rsidTr="0013063E">
        <w:tc>
          <w:tcPr>
            <w:tcW w:w="1994" w:type="dxa"/>
          </w:tcPr>
          <w:p w14:paraId="210354B9" w14:textId="77777777" w:rsidR="00777D3A" w:rsidRPr="00174721" w:rsidRDefault="00777D3A" w:rsidP="0013063E">
            <w:pPr>
              <w:spacing w:after="240"/>
              <w:rPr>
                <w:rFonts w:ascii="Arial Narrow" w:hAnsi="Arial Narrow"/>
                <w:b/>
              </w:rPr>
            </w:pPr>
            <w:r>
              <w:rPr>
                <w:rFonts w:ascii="Arial Narrow" w:hAnsi="Arial Narrow"/>
                <w:b/>
              </w:rPr>
              <w:t xml:space="preserve">Consultants Representative and </w:t>
            </w:r>
            <w:r w:rsidRPr="00174721">
              <w:rPr>
                <w:rFonts w:ascii="Arial Narrow" w:hAnsi="Arial Narrow"/>
                <w:b/>
              </w:rPr>
              <w:t>Key Personnel:</w:t>
            </w:r>
          </w:p>
        </w:tc>
        <w:tc>
          <w:tcPr>
            <w:tcW w:w="6924" w:type="dxa"/>
          </w:tcPr>
          <w:p w14:paraId="17D5FCE6" w14:textId="77777777" w:rsidR="00777D3A" w:rsidRPr="005430F4" w:rsidRDefault="00777D3A" w:rsidP="0013063E">
            <w:pPr>
              <w:rPr>
                <w:rFonts w:ascii="Arial Narrow" w:hAnsi="Arial Narrow"/>
              </w:rPr>
            </w:pPr>
            <w:r>
              <w:rPr>
                <w:rFonts w:ascii="Arial Narrow" w:hAnsi="Arial Narrow"/>
              </w:rPr>
              <w:t xml:space="preserve">XXX </w:t>
            </w:r>
          </w:p>
        </w:tc>
      </w:tr>
    </w:tbl>
    <w:p w14:paraId="33E62575" w14:textId="77777777" w:rsidR="00777D3A" w:rsidRPr="00174721" w:rsidRDefault="00777D3A" w:rsidP="00777D3A">
      <w:pPr>
        <w:rPr>
          <w:rFonts w:ascii="Arial Narrow" w:hAnsi="Arial Narrow"/>
          <w:b/>
        </w:rPr>
      </w:pPr>
    </w:p>
    <w:p w14:paraId="1F37B812" w14:textId="77777777" w:rsidR="00777D3A" w:rsidRPr="00174721" w:rsidRDefault="00777D3A" w:rsidP="00777D3A">
      <w:pPr>
        <w:rPr>
          <w:rFonts w:ascii="Arial Narrow" w:hAnsi="Arial Narrow"/>
          <w:b/>
        </w:rPr>
      </w:pPr>
      <w:r w:rsidRPr="00174721">
        <w:rPr>
          <w:rFonts w:ascii="Arial Narrow" w:hAnsi="Arial Narrow"/>
          <w:b/>
        </w:rPr>
        <w:br w:type="page"/>
      </w:r>
    </w:p>
    <w:p w14:paraId="379D57B7" w14:textId="77777777" w:rsidR="00777D3A" w:rsidRPr="00174721" w:rsidRDefault="00777D3A" w:rsidP="00777D3A">
      <w:pPr>
        <w:jc w:val="center"/>
        <w:rPr>
          <w:rFonts w:ascii="Arial Narrow" w:hAnsi="Arial Narrow"/>
          <w:b/>
          <w:sz w:val="28"/>
        </w:rPr>
      </w:pPr>
      <w:r w:rsidRPr="00174721">
        <w:rPr>
          <w:rFonts w:ascii="Arial Narrow" w:hAnsi="Arial Narrow"/>
          <w:b/>
          <w:sz w:val="28"/>
        </w:rPr>
        <w:lastRenderedPageBreak/>
        <w:t>Terms and cond</w:t>
      </w:r>
      <w:r>
        <w:rPr>
          <w:rFonts w:ascii="Arial Narrow" w:hAnsi="Arial Narrow"/>
          <w:b/>
          <w:sz w:val="28"/>
        </w:rPr>
        <w:t xml:space="preserve">itions for the engagement of a </w:t>
      </w:r>
      <w:proofErr w:type="gramStart"/>
      <w:r>
        <w:rPr>
          <w:rFonts w:ascii="Arial Narrow" w:hAnsi="Arial Narrow"/>
          <w:b/>
          <w:sz w:val="28"/>
        </w:rPr>
        <w:t>C</w:t>
      </w:r>
      <w:r w:rsidRPr="00174721">
        <w:rPr>
          <w:rFonts w:ascii="Arial Narrow" w:hAnsi="Arial Narrow"/>
          <w:b/>
          <w:sz w:val="28"/>
        </w:rPr>
        <w:t>onsultant</w:t>
      </w:r>
      <w:proofErr w:type="gramEnd"/>
    </w:p>
    <w:p w14:paraId="2A3AE4C5" w14:textId="77777777" w:rsidR="00777D3A" w:rsidRPr="009B53CC" w:rsidRDefault="00777D3A" w:rsidP="00777D3A">
      <w:pPr>
        <w:rPr>
          <w:rFonts w:ascii="Arial Narrow" w:hAnsi="Arial Narrow"/>
          <w:sz w:val="18"/>
          <w:szCs w:val="18"/>
        </w:rPr>
      </w:pPr>
      <w:r w:rsidRPr="009B53CC">
        <w:rPr>
          <w:rFonts w:ascii="Arial Narrow" w:hAnsi="Arial Narrow"/>
          <w:sz w:val="18"/>
          <w:szCs w:val="18"/>
        </w:rPr>
        <w:t>The Cook Islands Investment Corporation, a body corporate established by the Cook Islands Investment Corporation Act 1998 (the “Principal") agrees to engage the Consultant and the Consultant agrees to provide the Services described in the Schedule on the following conditions:</w:t>
      </w:r>
    </w:p>
    <w:p w14:paraId="30671283" w14:textId="77777777" w:rsidR="00777D3A" w:rsidRPr="009B53CC" w:rsidRDefault="00777D3A" w:rsidP="00FB4F7B">
      <w:pPr>
        <w:pStyle w:val="ListParagraph"/>
        <w:numPr>
          <w:ilvl w:val="0"/>
          <w:numId w:val="8"/>
        </w:numPr>
        <w:ind w:left="284" w:hanging="284"/>
        <w:jc w:val="both"/>
        <w:rPr>
          <w:rFonts w:ascii="Arial Narrow" w:hAnsi="Arial Narrow"/>
          <w:sz w:val="18"/>
          <w:szCs w:val="18"/>
        </w:rPr>
      </w:pPr>
      <w:r w:rsidRPr="009B53CC">
        <w:rPr>
          <w:rFonts w:ascii="Arial Narrow" w:hAnsi="Arial Narrow"/>
          <w:b/>
          <w:sz w:val="18"/>
          <w:szCs w:val="18"/>
        </w:rPr>
        <w:t>Application:</w:t>
      </w:r>
      <w:r w:rsidRPr="009B53CC">
        <w:rPr>
          <w:rFonts w:ascii="Arial Narrow" w:hAnsi="Arial Narrow"/>
          <w:sz w:val="18"/>
          <w:szCs w:val="18"/>
        </w:rPr>
        <w:t xml:space="preserve"> These terms and conditions supersede any contrary provisions in any previous agreements between parties, written or otherwise.  No right under these terms shall be deemed to be waived except by notice in writing by each party.  In the event that any one or more of the provisions contained in these conditions are declared invalid by order, decree or judgment of any Court of competent jurisdiction, these conditions are to be read as if such provision had not been inserted.</w:t>
      </w:r>
    </w:p>
    <w:p w14:paraId="7D3E0739" w14:textId="77777777" w:rsidR="00777D3A" w:rsidRPr="009B53CC" w:rsidRDefault="00777D3A" w:rsidP="00FB4F7B">
      <w:pPr>
        <w:pStyle w:val="ListParagraph"/>
        <w:numPr>
          <w:ilvl w:val="0"/>
          <w:numId w:val="8"/>
        </w:numPr>
        <w:ind w:left="284" w:hanging="284"/>
        <w:jc w:val="both"/>
        <w:rPr>
          <w:rFonts w:ascii="Arial Narrow" w:hAnsi="Arial Narrow"/>
          <w:sz w:val="18"/>
          <w:szCs w:val="18"/>
        </w:rPr>
      </w:pPr>
      <w:r w:rsidRPr="009B53CC">
        <w:rPr>
          <w:rFonts w:ascii="Arial Narrow" w:hAnsi="Arial Narrow"/>
          <w:b/>
          <w:sz w:val="18"/>
          <w:szCs w:val="18"/>
        </w:rPr>
        <w:t>Services:</w:t>
      </w:r>
      <w:r w:rsidRPr="009B53CC">
        <w:rPr>
          <w:rFonts w:ascii="Arial Narrow" w:hAnsi="Arial Narrow"/>
          <w:sz w:val="18"/>
          <w:szCs w:val="18"/>
        </w:rPr>
        <w:t xml:space="preserve"> The Consultant shall perform the Services as described in the attached Schedule in accordance with any requirements set out in these terms and conditions and/or in the Schedule.  The time of performance of the Services is a fundamental element of these terms and conditions.  The Consultant shall notify the </w:t>
      </w:r>
      <w:proofErr w:type="gramStart"/>
      <w:r w:rsidRPr="009B53CC">
        <w:rPr>
          <w:rFonts w:ascii="Arial Narrow" w:hAnsi="Arial Narrow"/>
          <w:sz w:val="18"/>
          <w:szCs w:val="18"/>
        </w:rPr>
        <w:t>Principal</w:t>
      </w:r>
      <w:proofErr w:type="gramEnd"/>
      <w:r w:rsidRPr="009B53CC">
        <w:rPr>
          <w:rFonts w:ascii="Arial Narrow" w:hAnsi="Arial Narrow"/>
          <w:sz w:val="18"/>
          <w:szCs w:val="18"/>
        </w:rPr>
        <w:t xml:space="preserve"> in writing immediately when the Consultant becomes aware there may be a delay in the delivery of the Services.  The </w:t>
      </w:r>
      <w:proofErr w:type="gramStart"/>
      <w:r w:rsidRPr="009B53CC">
        <w:rPr>
          <w:rFonts w:ascii="Arial Narrow" w:hAnsi="Arial Narrow"/>
          <w:sz w:val="18"/>
          <w:szCs w:val="18"/>
        </w:rPr>
        <w:t>Principal</w:t>
      </w:r>
      <w:proofErr w:type="gramEnd"/>
      <w:r w:rsidRPr="009B53CC">
        <w:rPr>
          <w:rFonts w:ascii="Arial Narrow" w:hAnsi="Arial Narrow"/>
          <w:sz w:val="18"/>
          <w:szCs w:val="18"/>
        </w:rPr>
        <w:t xml:space="preserve"> is entitled to cancel these terms and conditions or change its specification (without incurring additional charges) if the Services are not supplied on the supply dates or times specified in the Schedule.  Where the Consultant has the benefit of any warranties or covenants from a third party in respect of the Services, the Consultant shall disclose and assign the benefit of the warranties and/or covenants to the </w:t>
      </w:r>
      <w:proofErr w:type="gramStart"/>
      <w:r w:rsidRPr="009B53CC">
        <w:rPr>
          <w:rFonts w:ascii="Arial Narrow" w:hAnsi="Arial Narrow"/>
          <w:sz w:val="18"/>
          <w:szCs w:val="18"/>
        </w:rPr>
        <w:t>Principal</w:t>
      </w:r>
      <w:proofErr w:type="gramEnd"/>
      <w:r w:rsidRPr="009B53CC">
        <w:rPr>
          <w:rFonts w:ascii="Arial Narrow" w:hAnsi="Arial Narrow"/>
          <w:sz w:val="18"/>
          <w:szCs w:val="18"/>
        </w:rPr>
        <w:t>.</w:t>
      </w:r>
    </w:p>
    <w:p w14:paraId="4FA81B87" w14:textId="77777777" w:rsidR="00777D3A" w:rsidRPr="009B53CC" w:rsidRDefault="00777D3A" w:rsidP="00FB4F7B">
      <w:pPr>
        <w:pStyle w:val="ListParagraph"/>
        <w:numPr>
          <w:ilvl w:val="0"/>
          <w:numId w:val="8"/>
        </w:numPr>
        <w:ind w:left="284" w:hanging="284"/>
        <w:jc w:val="both"/>
        <w:rPr>
          <w:rFonts w:ascii="Arial Narrow" w:hAnsi="Arial Narrow"/>
          <w:sz w:val="18"/>
          <w:szCs w:val="18"/>
        </w:rPr>
      </w:pPr>
      <w:r w:rsidRPr="009B53CC">
        <w:rPr>
          <w:rFonts w:ascii="Arial Narrow" w:hAnsi="Arial Narrow"/>
          <w:b/>
          <w:sz w:val="18"/>
          <w:szCs w:val="18"/>
        </w:rPr>
        <w:t>Skill:</w:t>
      </w:r>
      <w:r w:rsidRPr="009B53CC">
        <w:rPr>
          <w:rFonts w:ascii="Arial Narrow" w:hAnsi="Arial Narrow"/>
          <w:sz w:val="18"/>
          <w:szCs w:val="18"/>
        </w:rPr>
        <w:t xml:space="preserve"> The Consultant shall use the highest reasonable standard of skill, care and quality and employ techniques, methods, procedures and materials of a high quality and standard in accordance with best professional practice in rendering the Services.  The Consultant will comply with all relevant (a) Cook Island standards and international standards (if not in conflict) (both general and industry-specific); (b) statutes; (c) regulations; (d) by-laws; (e) ordinances; and (f) Government policies, applicable in respect of the supply of the Services. If in conflict, unless as otherwise agreed the Cook Islands standards shall prevail.</w:t>
      </w:r>
    </w:p>
    <w:p w14:paraId="7F34F3C3" w14:textId="77777777" w:rsidR="00777D3A" w:rsidRPr="009B53CC" w:rsidRDefault="00777D3A" w:rsidP="00FB4F7B">
      <w:pPr>
        <w:pStyle w:val="ListParagraph"/>
        <w:numPr>
          <w:ilvl w:val="0"/>
          <w:numId w:val="8"/>
        </w:numPr>
        <w:ind w:left="284" w:hanging="284"/>
        <w:jc w:val="both"/>
        <w:rPr>
          <w:rFonts w:ascii="Arial Narrow" w:hAnsi="Arial Narrow"/>
          <w:sz w:val="18"/>
          <w:szCs w:val="18"/>
        </w:rPr>
      </w:pPr>
      <w:r w:rsidRPr="009B53CC">
        <w:rPr>
          <w:rFonts w:ascii="Arial Narrow" w:hAnsi="Arial Narrow"/>
          <w:b/>
          <w:sz w:val="18"/>
          <w:szCs w:val="18"/>
        </w:rPr>
        <w:t>Independent Judgment:</w:t>
      </w:r>
      <w:r w:rsidRPr="009B53CC">
        <w:rPr>
          <w:rFonts w:ascii="Arial Narrow" w:hAnsi="Arial Narrow"/>
          <w:sz w:val="18"/>
          <w:szCs w:val="18"/>
        </w:rPr>
        <w:t xml:space="preserve"> Where the Services require the Consultant to certify, decide or use discretion under a contract between the </w:t>
      </w:r>
      <w:proofErr w:type="gramStart"/>
      <w:r w:rsidRPr="009B53CC">
        <w:rPr>
          <w:rFonts w:ascii="Arial Narrow" w:hAnsi="Arial Narrow"/>
          <w:sz w:val="18"/>
          <w:szCs w:val="18"/>
        </w:rPr>
        <w:t>Principal</w:t>
      </w:r>
      <w:proofErr w:type="gramEnd"/>
      <w:r w:rsidRPr="009B53CC">
        <w:rPr>
          <w:rFonts w:ascii="Arial Narrow" w:hAnsi="Arial Narrow"/>
          <w:sz w:val="18"/>
          <w:szCs w:val="18"/>
        </w:rPr>
        <w:t xml:space="preserve"> and a third party, the Consultant must act independently, and with professional skill and judgment, and according to the terms of the contract between the Principal and the third party.</w:t>
      </w:r>
    </w:p>
    <w:p w14:paraId="2D788B5C" w14:textId="77777777" w:rsidR="00777D3A" w:rsidRPr="009B53CC" w:rsidRDefault="00777D3A" w:rsidP="00FB4F7B">
      <w:pPr>
        <w:pStyle w:val="ListParagraph"/>
        <w:numPr>
          <w:ilvl w:val="0"/>
          <w:numId w:val="8"/>
        </w:numPr>
        <w:ind w:left="284" w:hanging="284"/>
        <w:jc w:val="both"/>
        <w:rPr>
          <w:rFonts w:ascii="Arial Narrow" w:hAnsi="Arial Narrow"/>
          <w:sz w:val="18"/>
          <w:szCs w:val="18"/>
        </w:rPr>
      </w:pPr>
      <w:r w:rsidRPr="009B53CC">
        <w:rPr>
          <w:rFonts w:ascii="Arial Narrow" w:hAnsi="Arial Narrow"/>
          <w:b/>
          <w:sz w:val="18"/>
          <w:szCs w:val="18"/>
        </w:rPr>
        <w:t>Delay:</w:t>
      </w:r>
      <w:r w:rsidRPr="009B53CC">
        <w:rPr>
          <w:rFonts w:ascii="Arial Narrow" w:hAnsi="Arial Narrow"/>
          <w:sz w:val="18"/>
          <w:szCs w:val="18"/>
        </w:rPr>
        <w:t xml:space="preserve"> If at any time the Consultant's performance falls behind the programme set out in the Schedule then the Consultant shall notify the </w:t>
      </w:r>
      <w:proofErr w:type="gramStart"/>
      <w:r w:rsidRPr="009B53CC">
        <w:rPr>
          <w:rFonts w:ascii="Arial Narrow" w:hAnsi="Arial Narrow"/>
          <w:sz w:val="18"/>
          <w:szCs w:val="18"/>
        </w:rPr>
        <w:t>Principal</w:t>
      </w:r>
      <w:proofErr w:type="gramEnd"/>
      <w:r w:rsidRPr="009B53CC">
        <w:rPr>
          <w:rFonts w:ascii="Arial Narrow" w:hAnsi="Arial Narrow"/>
          <w:sz w:val="18"/>
          <w:szCs w:val="18"/>
        </w:rPr>
        <w:t xml:space="preserve"> and, where the delays are due to matters within the control of the Consultant, shall take all practicable steps to remedy such delay.  </w:t>
      </w:r>
    </w:p>
    <w:p w14:paraId="0487044B" w14:textId="77777777" w:rsidR="00777D3A" w:rsidRPr="009B53CC" w:rsidRDefault="00777D3A" w:rsidP="00FB4F7B">
      <w:pPr>
        <w:pStyle w:val="ListParagraph"/>
        <w:numPr>
          <w:ilvl w:val="0"/>
          <w:numId w:val="8"/>
        </w:numPr>
        <w:ind w:left="284" w:hanging="284"/>
        <w:jc w:val="both"/>
        <w:rPr>
          <w:rFonts w:ascii="Arial Narrow" w:hAnsi="Arial Narrow"/>
          <w:sz w:val="18"/>
          <w:szCs w:val="18"/>
        </w:rPr>
      </w:pPr>
      <w:r w:rsidRPr="009B53CC">
        <w:rPr>
          <w:rFonts w:ascii="Arial Narrow" w:hAnsi="Arial Narrow"/>
          <w:b/>
          <w:sz w:val="18"/>
          <w:szCs w:val="18"/>
        </w:rPr>
        <w:t>Variations:</w:t>
      </w:r>
      <w:r w:rsidRPr="009B53CC">
        <w:rPr>
          <w:rFonts w:ascii="Arial Narrow" w:hAnsi="Arial Narrow"/>
          <w:sz w:val="18"/>
          <w:szCs w:val="18"/>
        </w:rPr>
        <w:t xml:space="preserve"> The Principal may order variations to the Services in writing or may request the Consultant to submit proposals for variation to the Services.  Where the Consultant considers a direction from the </w:t>
      </w:r>
      <w:proofErr w:type="gramStart"/>
      <w:r w:rsidRPr="009B53CC">
        <w:rPr>
          <w:rFonts w:ascii="Arial Narrow" w:hAnsi="Arial Narrow"/>
          <w:sz w:val="18"/>
          <w:szCs w:val="18"/>
        </w:rPr>
        <w:t>Principal</w:t>
      </w:r>
      <w:proofErr w:type="gramEnd"/>
      <w:r w:rsidRPr="009B53CC">
        <w:rPr>
          <w:rFonts w:ascii="Arial Narrow" w:hAnsi="Arial Narrow"/>
          <w:sz w:val="18"/>
          <w:szCs w:val="18"/>
        </w:rPr>
        <w:t xml:space="preserve"> or any other circumstance is or may give rise to a variation the Consultant shall notify the Principal as soon as practicable.</w:t>
      </w:r>
    </w:p>
    <w:p w14:paraId="4ABC69BE" w14:textId="77777777" w:rsidR="00777D3A" w:rsidRPr="009B53CC" w:rsidRDefault="00777D3A" w:rsidP="00FB4F7B">
      <w:pPr>
        <w:pStyle w:val="ListParagraph"/>
        <w:numPr>
          <w:ilvl w:val="0"/>
          <w:numId w:val="8"/>
        </w:numPr>
        <w:ind w:left="284" w:hanging="284"/>
        <w:jc w:val="both"/>
        <w:rPr>
          <w:rFonts w:ascii="Arial Narrow" w:hAnsi="Arial Narrow"/>
          <w:sz w:val="18"/>
          <w:szCs w:val="18"/>
        </w:rPr>
      </w:pPr>
      <w:r w:rsidRPr="009B53CC">
        <w:rPr>
          <w:rFonts w:ascii="Arial Narrow" w:hAnsi="Arial Narrow"/>
          <w:b/>
          <w:sz w:val="18"/>
          <w:szCs w:val="18"/>
        </w:rPr>
        <w:t>Payment:</w:t>
      </w:r>
      <w:r w:rsidRPr="009B53CC">
        <w:rPr>
          <w:rFonts w:ascii="Arial Narrow" w:hAnsi="Arial Narrow"/>
          <w:sz w:val="18"/>
          <w:szCs w:val="18"/>
        </w:rPr>
        <w:t xml:space="preserve"> The Principal shall pay the Consultant for their Services, the fees and expenses at the times and in the manner set out in the Schedule.  The prices stated in the Schedule are fixed unless there is a written agreement stipulating the price may be varied, when it may be varied and how the price is to be determined.  The price is exclusive of VAT. The Consultant is not entitled to claim any additional expenses, surcharges, margins or disbursements except if otherwise agreed in advance and in writing by the </w:t>
      </w:r>
      <w:proofErr w:type="gramStart"/>
      <w:r w:rsidRPr="009B53CC">
        <w:rPr>
          <w:rFonts w:ascii="Arial Narrow" w:hAnsi="Arial Narrow"/>
          <w:sz w:val="18"/>
          <w:szCs w:val="18"/>
        </w:rPr>
        <w:t>Principal</w:t>
      </w:r>
      <w:proofErr w:type="gramEnd"/>
      <w:r w:rsidRPr="009B53CC">
        <w:rPr>
          <w:rFonts w:ascii="Arial Narrow" w:hAnsi="Arial Narrow"/>
          <w:sz w:val="18"/>
          <w:szCs w:val="18"/>
        </w:rPr>
        <w:t>.</w:t>
      </w:r>
    </w:p>
    <w:p w14:paraId="39317637" w14:textId="77777777" w:rsidR="00777D3A" w:rsidRPr="009B53CC" w:rsidRDefault="00777D3A" w:rsidP="00FB4F7B">
      <w:pPr>
        <w:pStyle w:val="ListParagraph"/>
        <w:numPr>
          <w:ilvl w:val="0"/>
          <w:numId w:val="9"/>
        </w:numPr>
        <w:jc w:val="both"/>
        <w:rPr>
          <w:rFonts w:ascii="Arial Narrow" w:hAnsi="Arial Narrow"/>
          <w:bCs/>
          <w:sz w:val="18"/>
          <w:szCs w:val="18"/>
        </w:rPr>
      </w:pPr>
      <w:r w:rsidRPr="009B53CC">
        <w:rPr>
          <w:rFonts w:ascii="Arial Narrow" w:hAnsi="Arial Narrow"/>
          <w:b/>
          <w:sz w:val="18"/>
          <w:szCs w:val="18"/>
        </w:rPr>
        <w:t>Withholding Taxes:</w:t>
      </w:r>
      <w:r w:rsidRPr="009B53CC">
        <w:rPr>
          <w:rFonts w:ascii="Arial Narrow" w:hAnsi="Arial Narrow"/>
          <w:sz w:val="18"/>
          <w:szCs w:val="18"/>
        </w:rPr>
        <w:t xml:space="preserve"> </w:t>
      </w:r>
      <w:r w:rsidRPr="009B53CC">
        <w:rPr>
          <w:rFonts w:ascii="Arial Narrow" w:eastAsia="Calibri" w:hAnsi="Arial Narrow"/>
          <w:sz w:val="18"/>
          <w:szCs w:val="18"/>
        </w:rPr>
        <w:t>If the Principal is required by law to deduct or withhold any taxes in respect of any amounts payable to the Consultant, t</w:t>
      </w:r>
      <w:r w:rsidRPr="009B53CC">
        <w:rPr>
          <w:rFonts w:ascii="Arial Narrow" w:hAnsi="Arial Narrow"/>
          <w:bCs/>
          <w:sz w:val="18"/>
          <w:szCs w:val="18"/>
        </w:rPr>
        <w:t xml:space="preserve">he Principal will deduct the applicable taxes from each payment made to the Consultant, and the Consultant shall receive the net amount after the required deductions or withholdings have been made by the </w:t>
      </w:r>
      <w:proofErr w:type="gramStart"/>
      <w:r w:rsidRPr="009B53CC">
        <w:rPr>
          <w:rFonts w:ascii="Arial Narrow" w:hAnsi="Arial Narrow"/>
          <w:bCs/>
          <w:sz w:val="18"/>
          <w:szCs w:val="18"/>
        </w:rPr>
        <w:t>Principal</w:t>
      </w:r>
      <w:proofErr w:type="gramEnd"/>
      <w:r w:rsidRPr="009B53CC">
        <w:rPr>
          <w:rFonts w:ascii="Arial Narrow" w:hAnsi="Arial Narrow"/>
          <w:bCs/>
          <w:sz w:val="18"/>
          <w:szCs w:val="18"/>
        </w:rPr>
        <w:t xml:space="preserve">. The </w:t>
      </w:r>
      <w:proofErr w:type="gramStart"/>
      <w:r w:rsidRPr="009B53CC">
        <w:rPr>
          <w:rFonts w:ascii="Arial Narrow" w:hAnsi="Arial Narrow"/>
          <w:bCs/>
          <w:sz w:val="18"/>
          <w:szCs w:val="18"/>
        </w:rPr>
        <w:t>Principal</w:t>
      </w:r>
      <w:proofErr w:type="gramEnd"/>
      <w:r w:rsidRPr="009B53CC">
        <w:rPr>
          <w:rFonts w:ascii="Arial Narrow" w:hAnsi="Arial Narrow"/>
          <w:bCs/>
          <w:sz w:val="18"/>
          <w:szCs w:val="18"/>
        </w:rPr>
        <w:t xml:space="preserve"> shall pay the deducted amounts to the relevant taxation authority or government agency in accordance with the applicable law. Notwithstanding the foregoing, any travel related expenses, as detailed in the Schedule, will be reimbursed to the consultant in full, without any deductions or withholdings.</w:t>
      </w:r>
    </w:p>
    <w:p w14:paraId="3990EDCE" w14:textId="77777777" w:rsidR="00777D3A" w:rsidRPr="009B53CC" w:rsidRDefault="00777D3A" w:rsidP="00FB4F7B">
      <w:pPr>
        <w:pStyle w:val="ListParagraph"/>
        <w:numPr>
          <w:ilvl w:val="0"/>
          <w:numId w:val="8"/>
        </w:numPr>
        <w:ind w:left="284" w:hanging="284"/>
        <w:jc w:val="both"/>
        <w:rPr>
          <w:rFonts w:ascii="Arial Narrow" w:hAnsi="Arial Narrow"/>
          <w:sz w:val="18"/>
          <w:szCs w:val="18"/>
        </w:rPr>
      </w:pPr>
      <w:r w:rsidRPr="009B53CC">
        <w:rPr>
          <w:rFonts w:ascii="Arial Narrow" w:hAnsi="Arial Narrow"/>
          <w:b/>
          <w:sz w:val="18"/>
          <w:szCs w:val="18"/>
        </w:rPr>
        <w:t>Liability:</w:t>
      </w:r>
      <w:r w:rsidRPr="009B53CC">
        <w:rPr>
          <w:rFonts w:ascii="Arial Narrow" w:hAnsi="Arial Narrow"/>
          <w:sz w:val="18"/>
          <w:szCs w:val="18"/>
        </w:rPr>
        <w:t xml:space="preserve"> Where the Consultant breaches these terms and conditions, the Consultant is liable to the </w:t>
      </w:r>
      <w:proofErr w:type="gramStart"/>
      <w:r w:rsidRPr="009B53CC">
        <w:rPr>
          <w:rFonts w:ascii="Arial Narrow" w:hAnsi="Arial Narrow"/>
          <w:sz w:val="18"/>
          <w:szCs w:val="18"/>
        </w:rPr>
        <w:t>Principal</w:t>
      </w:r>
      <w:proofErr w:type="gramEnd"/>
      <w:r w:rsidRPr="009B53CC">
        <w:rPr>
          <w:rFonts w:ascii="Arial Narrow" w:hAnsi="Arial Narrow"/>
          <w:sz w:val="18"/>
          <w:szCs w:val="18"/>
        </w:rPr>
        <w:t xml:space="preserve"> for reasonably foreseeable claims, damages, liabilities, losses or expenses caused directly by the breach. Neither the Principal nor the Consultant shall be liable to the other under this Agreement for indirect, consequential or special loss, or loss of profit, however arising, whether under contract, in tort or otherwise</w:t>
      </w:r>
      <w:r w:rsidRPr="009B53CC">
        <w:rPr>
          <w:sz w:val="18"/>
          <w:szCs w:val="18"/>
        </w:rPr>
        <w:t>.</w:t>
      </w:r>
    </w:p>
    <w:p w14:paraId="07FFB8CD" w14:textId="77777777" w:rsidR="00777D3A" w:rsidRPr="009B53CC" w:rsidRDefault="00777D3A" w:rsidP="00FB4F7B">
      <w:pPr>
        <w:pStyle w:val="ListParagraph"/>
        <w:numPr>
          <w:ilvl w:val="0"/>
          <w:numId w:val="8"/>
        </w:numPr>
        <w:ind w:left="284" w:hanging="284"/>
        <w:jc w:val="both"/>
        <w:rPr>
          <w:rFonts w:ascii="Arial Narrow" w:hAnsi="Arial Narrow"/>
          <w:sz w:val="18"/>
          <w:szCs w:val="18"/>
        </w:rPr>
      </w:pPr>
      <w:r w:rsidRPr="009B53CC">
        <w:rPr>
          <w:rFonts w:ascii="Arial Narrow" w:hAnsi="Arial Narrow"/>
          <w:b/>
          <w:sz w:val="18"/>
          <w:szCs w:val="18"/>
        </w:rPr>
        <w:t>Contribution to Loss:</w:t>
      </w:r>
      <w:r w:rsidRPr="009B53CC">
        <w:rPr>
          <w:rFonts w:ascii="Arial Narrow" w:hAnsi="Arial Narrow"/>
          <w:sz w:val="18"/>
          <w:szCs w:val="18"/>
        </w:rPr>
        <w:t xml:space="preserve"> If either Party is found liable to the other (whether in contract, tort or otherwise), and the claiming Party and/or a Third Party has contributed to the loss or damage, the liable Party shall only be liable to the proportional extent of its own contribution.</w:t>
      </w:r>
    </w:p>
    <w:p w14:paraId="78615674" w14:textId="77777777" w:rsidR="00777D3A" w:rsidRPr="009B53CC" w:rsidRDefault="00777D3A" w:rsidP="00FB4F7B">
      <w:pPr>
        <w:pStyle w:val="ListParagraph"/>
        <w:numPr>
          <w:ilvl w:val="0"/>
          <w:numId w:val="8"/>
        </w:numPr>
        <w:ind w:left="284" w:hanging="284"/>
        <w:jc w:val="both"/>
        <w:rPr>
          <w:rFonts w:ascii="Arial Narrow" w:hAnsi="Arial Narrow"/>
          <w:sz w:val="18"/>
          <w:szCs w:val="18"/>
        </w:rPr>
      </w:pPr>
      <w:r w:rsidRPr="009B53CC">
        <w:rPr>
          <w:rFonts w:ascii="Arial Narrow" w:hAnsi="Arial Narrow"/>
          <w:b/>
          <w:sz w:val="18"/>
          <w:szCs w:val="18"/>
        </w:rPr>
        <w:t>Indemnity:</w:t>
      </w:r>
      <w:r w:rsidRPr="009B53CC">
        <w:rPr>
          <w:rFonts w:ascii="Arial Narrow" w:hAnsi="Arial Narrow"/>
          <w:sz w:val="18"/>
          <w:szCs w:val="18"/>
        </w:rPr>
        <w:t xml:space="preserve"> The Consultant indemnifies the </w:t>
      </w:r>
      <w:proofErr w:type="gramStart"/>
      <w:r w:rsidRPr="009B53CC">
        <w:rPr>
          <w:rFonts w:ascii="Arial Narrow" w:hAnsi="Arial Narrow"/>
          <w:sz w:val="18"/>
          <w:szCs w:val="18"/>
        </w:rPr>
        <w:t>Principal</w:t>
      </w:r>
      <w:proofErr w:type="gramEnd"/>
      <w:r w:rsidRPr="009B53CC">
        <w:rPr>
          <w:rFonts w:ascii="Arial Narrow" w:hAnsi="Arial Narrow"/>
          <w:sz w:val="18"/>
          <w:szCs w:val="18"/>
        </w:rPr>
        <w:t xml:space="preserve"> in respect of all costs (including legal costs), claims, liabilities, losses, damage and expenses suffered or incurred by the Principal as a direct consequence of any unlawful, negligent, tortious, criminal, reckless or dishonest errors, acts or omission of the Consultant in the performance of its obligations under these terms and conditions.  This indemnity survives the termination of these terms and conditions.</w:t>
      </w:r>
    </w:p>
    <w:p w14:paraId="493E9301" w14:textId="77777777" w:rsidR="00777D3A" w:rsidRPr="009B53CC" w:rsidRDefault="00777D3A" w:rsidP="00FB4F7B">
      <w:pPr>
        <w:pStyle w:val="ListParagraph"/>
        <w:numPr>
          <w:ilvl w:val="0"/>
          <w:numId w:val="8"/>
        </w:numPr>
        <w:ind w:left="284" w:hanging="284"/>
        <w:jc w:val="both"/>
        <w:rPr>
          <w:rFonts w:ascii="Arial Narrow" w:hAnsi="Arial Narrow"/>
          <w:sz w:val="18"/>
          <w:szCs w:val="18"/>
        </w:rPr>
      </w:pPr>
      <w:r w:rsidRPr="009B53CC">
        <w:rPr>
          <w:rFonts w:ascii="Arial Narrow" w:hAnsi="Arial Narrow"/>
          <w:b/>
          <w:sz w:val="18"/>
          <w:szCs w:val="18"/>
        </w:rPr>
        <w:t>Insurance:</w:t>
      </w:r>
      <w:r w:rsidRPr="009B53CC">
        <w:rPr>
          <w:rFonts w:ascii="Arial Narrow" w:hAnsi="Arial Narrow"/>
          <w:sz w:val="18"/>
          <w:szCs w:val="18"/>
        </w:rPr>
        <w:t xml:space="preserve"> The Consultant shall take out and maintain at its own cost, at all times during the continuance of these terms and conditions, such insurances as specified in the Schedule.  All such insurance shall be on such terms and with such insurers as the </w:t>
      </w:r>
      <w:proofErr w:type="gramStart"/>
      <w:r w:rsidRPr="009B53CC">
        <w:rPr>
          <w:rFonts w:ascii="Arial Narrow" w:hAnsi="Arial Narrow"/>
          <w:sz w:val="18"/>
          <w:szCs w:val="18"/>
        </w:rPr>
        <w:t>Principal</w:t>
      </w:r>
      <w:proofErr w:type="gramEnd"/>
      <w:r w:rsidRPr="009B53CC">
        <w:rPr>
          <w:rFonts w:ascii="Arial Narrow" w:hAnsi="Arial Narrow"/>
          <w:sz w:val="18"/>
          <w:szCs w:val="18"/>
        </w:rPr>
        <w:t xml:space="preserve"> may reasonably require.  The Consultant shall, if requested by the </w:t>
      </w:r>
      <w:proofErr w:type="gramStart"/>
      <w:r w:rsidRPr="009B53CC">
        <w:rPr>
          <w:rFonts w:ascii="Arial Narrow" w:hAnsi="Arial Narrow"/>
          <w:sz w:val="18"/>
          <w:szCs w:val="18"/>
        </w:rPr>
        <w:t>Principal</w:t>
      </w:r>
      <w:proofErr w:type="gramEnd"/>
      <w:r w:rsidRPr="009B53CC">
        <w:rPr>
          <w:rFonts w:ascii="Arial Narrow" w:hAnsi="Arial Narrow"/>
          <w:sz w:val="18"/>
          <w:szCs w:val="18"/>
        </w:rPr>
        <w:t xml:space="preserve">, provide the Principal with written evidence that all insurances are in force and shall produce, whenever reasonably required by the Principal, the relevant policies and evidence of payment of the current premiums.  If the Consultant fails to provide such evidence the </w:t>
      </w:r>
      <w:proofErr w:type="gramStart"/>
      <w:r w:rsidRPr="009B53CC">
        <w:rPr>
          <w:rFonts w:ascii="Arial Narrow" w:hAnsi="Arial Narrow"/>
          <w:sz w:val="18"/>
          <w:szCs w:val="18"/>
        </w:rPr>
        <w:t>Principal</w:t>
      </w:r>
      <w:proofErr w:type="gramEnd"/>
      <w:r w:rsidRPr="009B53CC">
        <w:rPr>
          <w:rFonts w:ascii="Arial Narrow" w:hAnsi="Arial Narrow"/>
          <w:sz w:val="18"/>
          <w:szCs w:val="18"/>
        </w:rPr>
        <w:t xml:space="preserve"> may, after notifying the Consultant in writing, arrange or keep in force that insurance and may, for the purpose of doing so, pay the relevant premiums and deduct a corresponding amount from any moneys payable by Principal to the Consultant under these terms and conditions.</w:t>
      </w:r>
    </w:p>
    <w:p w14:paraId="009A78BD" w14:textId="77777777" w:rsidR="00777D3A" w:rsidRPr="009B53CC" w:rsidRDefault="00777D3A" w:rsidP="00FB4F7B">
      <w:pPr>
        <w:pStyle w:val="ListParagraph"/>
        <w:numPr>
          <w:ilvl w:val="0"/>
          <w:numId w:val="8"/>
        </w:numPr>
        <w:ind w:left="284" w:hanging="284"/>
        <w:jc w:val="both"/>
        <w:rPr>
          <w:rFonts w:ascii="Arial Narrow" w:hAnsi="Arial Narrow"/>
          <w:sz w:val="18"/>
          <w:szCs w:val="18"/>
        </w:rPr>
      </w:pPr>
      <w:r w:rsidRPr="009B53CC">
        <w:rPr>
          <w:rFonts w:ascii="Arial Narrow" w:hAnsi="Arial Narrow"/>
          <w:b/>
          <w:sz w:val="18"/>
          <w:szCs w:val="18"/>
        </w:rPr>
        <w:lastRenderedPageBreak/>
        <w:t>Intellectual Property:</w:t>
      </w:r>
      <w:r w:rsidRPr="009B53CC">
        <w:rPr>
          <w:rFonts w:ascii="Arial Narrow" w:hAnsi="Arial Narrow"/>
          <w:sz w:val="18"/>
          <w:szCs w:val="18"/>
        </w:rPr>
        <w:t xml:space="preserve"> "Intellectual Property" includes copyright, designs, drawings, specifications, reports, data and documentation.  All Intellectual Property arising from the provision of the Services ("New IP') is owned by the Principal and the Consultant shall co-operate with the </w:t>
      </w:r>
      <w:proofErr w:type="gramStart"/>
      <w:r w:rsidRPr="009B53CC">
        <w:rPr>
          <w:rFonts w:ascii="Arial Narrow" w:hAnsi="Arial Narrow"/>
          <w:sz w:val="18"/>
          <w:szCs w:val="18"/>
        </w:rPr>
        <w:t>Principal</w:t>
      </w:r>
      <w:proofErr w:type="gramEnd"/>
      <w:r w:rsidRPr="009B53CC">
        <w:rPr>
          <w:rFonts w:ascii="Arial Narrow" w:hAnsi="Arial Narrow"/>
          <w:sz w:val="18"/>
          <w:szCs w:val="18"/>
        </w:rPr>
        <w:t xml:space="preserve"> (including by signing documents) to help the Principal protect its rights in the New IP.  To the extent that New IP incorporates or requires Intellectual Property arising outside of the provision of the Services stipulated within this contract ("Pre-existing IP"), the Consultant </w:t>
      </w:r>
      <w:proofErr w:type="spellStart"/>
      <w:r w:rsidRPr="009B53CC">
        <w:rPr>
          <w:rFonts w:ascii="Arial Narrow" w:hAnsi="Arial Narrow"/>
          <w:sz w:val="18"/>
          <w:szCs w:val="18"/>
        </w:rPr>
        <w:t>licences</w:t>
      </w:r>
      <w:proofErr w:type="spellEnd"/>
      <w:r w:rsidRPr="009B53CC">
        <w:rPr>
          <w:rFonts w:ascii="Arial Narrow" w:hAnsi="Arial Narrow"/>
          <w:sz w:val="18"/>
          <w:szCs w:val="18"/>
        </w:rPr>
        <w:t xml:space="preserve">, or shall procure the </w:t>
      </w:r>
      <w:proofErr w:type="spellStart"/>
      <w:r w:rsidRPr="009B53CC">
        <w:rPr>
          <w:rFonts w:ascii="Arial Narrow" w:hAnsi="Arial Narrow"/>
          <w:sz w:val="18"/>
          <w:szCs w:val="18"/>
        </w:rPr>
        <w:t>licence</w:t>
      </w:r>
      <w:proofErr w:type="spellEnd"/>
      <w:r w:rsidRPr="009B53CC">
        <w:rPr>
          <w:rFonts w:ascii="Arial Narrow" w:hAnsi="Arial Narrow"/>
          <w:sz w:val="18"/>
          <w:szCs w:val="18"/>
        </w:rPr>
        <w:t xml:space="preserve"> to the Pre-existing IP for the Principal on a perpetual, royalty-free basis.  The Consultant warrants and represents to the </w:t>
      </w:r>
      <w:proofErr w:type="gramStart"/>
      <w:r w:rsidRPr="009B53CC">
        <w:rPr>
          <w:rFonts w:ascii="Arial Narrow" w:hAnsi="Arial Narrow"/>
          <w:sz w:val="18"/>
          <w:szCs w:val="18"/>
        </w:rPr>
        <w:t>Principal</w:t>
      </w:r>
      <w:proofErr w:type="gramEnd"/>
      <w:r w:rsidRPr="009B53CC">
        <w:rPr>
          <w:rFonts w:ascii="Arial Narrow" w:hAnsi="Arial Narrow"/>
          <w:sz w:val="18"/>
          <w:szCs w:val="18"/>
        </w:rPr>
        <w:t xml:space="preserve"> that the New IP and the Pre-existing IP will not infringe the Intellectual Property rights of any third party.</w:t>
      </w:r>
    </w:p>
    <w:p w14:paraId="4116A94D" w14:textId="77777777" w:rsidR="00777D3A" w:rsidRPr="009B53CC" w:rsidRDefault="00777D3A" w:rsidP="00FB4F7B">
      <w:pPr>
        <w:pStyle w:val="ListParagraph"/>
        <w:numPr>
          <w:ilvl w:val="0"/>
          <w:numId w:val="8"/>
        </w:numPr>
        <w:ind w:left="284" w:hanging="284"/>
        <w:jc w:val="both"/>
        <w:rPr>
          <w:rFonts w:ascii="Arial Narrow" w:hAnsi="Arial Narrow"/>
          <w:sz w:val="18"/>
          <w:szCs w:val="18"/>
        </w:rPr>
      </w:pPr>
      <w:r w:rsidRPr="009B53CC">
        <w:rPr>
          <w:rFonts w:ascii="Arial Narrow" w:hAnsi="Arial Narrow"/>
          <w:b/>
          <w:sz w:val="18"/>
          <w:szCs w:val="18"/>
        </w:rPr>
        <w:t>Termination:</w:t>
      </w:r>
      <w:r w:rsidRPr="009B53CC">
        <w:rPr>
          <w:rFonts w:ascii="Arial Narrow" w:hAnsi="Arial Narrow"/>
          <w:sz w:val="18"/>
          <w:szCs w:val="18"/>
        </w:rPr>
        <w:t xml:space="preserve"> The Principal may, at its convenience, terminate all or part of the Services by 10 working days' written notice to the Consultant who shall immediately make arrangements to stop the Services and </w:t>
      </w:r>
      <w:proofErr w:type="spellStart"/>
      <w:r w:rsidRPr="009B53CC">
        <w:rPr>
          <w:rFonts w:ascii="Arial Narrow" w:hAnsi="Arial Narrow"/>
          <w:sz w:val="18"/>
          <w:szCs w:val="18"/>
        </w:rPr>
        <w:t>minimise</w:t>
      </w:r>
      <w:proofErr w:type="spellEnd"/>
      <w:r w:rsidRPr="009B53CC">
        <w:rPr>
          <w:rFonts w:ascii="Arial Narrow" w:hAnsi="Arial Narrow"/>
          <w:sz w:val="18"/>
          <w:szCs w:val="18"/>
        </w:rPr>
        <w:t xml:space="preserve"> further expenditure.  The Consultant may, in the event the </w:t>
      </w:r>
      <w:proofErr w:type="gramStart"/>
      <w:r w:rsidRPr="009B53CC">
        <w:rPr>
          <w:rFonts w:ascii="Arial Narrow" w:hAnsi="Arial Narrow"/>
          <w:sz w:val="18"/>
          <w:szCs w:val="18"/>
        </w:rPr>
        <w:t>Principal</w:t>
      </w:r>
      <w:proofErr w:type="gramEnd"/>
      <w:r w:rsidRPr="009B53CC">
        <w:rPr>
          <w:rFonts w:ascii="Arial Narrow" w:hAnsi="Arial Narrow"/>
          <w:sz w:val="18"/>
          <w:szCs w:val="18"/>
        </w:rPr>
        <w:t xml:space="preserve"> is in material default, terminate these terms and conditions by 10 working days' written notice to the Principal.  Any suspension or termination shall not prejudice or affect the accrued rights or claims and liabilities of the parties.  Further, the Principal may terminate these terms and conditions immediately where, in the opinion of the </w:t>
      </w:r>
      <w:proofErr w:type="gramStart"/>
      <w:r w:rsidRPr="009B53CC">
        <w:rPr>
          <w:rFonts w:ascii="Arial Narrow" w:hAnsi="Arial Narrow"/>
          <w:sz w:val="18"/>
          <w:szCs w:val="18"/>
        </w:rPr>
        <w:t>Principal</w:t>
      </w:r>
      <w:proofErr w:type="gramEnd"/>
      <w:r w:rsidRPr="009B53CC">
        <w:rPr>
          <w:rFonts w:ascii="Arial Narrow" w:hAnsi="Arial Narrow"/>
          <w:sz w:val="18"/>
          <w:szCs w:val="18"/>
        </w:rPr>
        <w:t xml:space="preserve">, there has been serious misconduct by the Consultant.  Serious misconduct includes, but is not limited to: bringing the </w:t>
      </w:r>
      <w:proofErr w:type="gramStart"/>
      <w:r w:rsidRPr="009B53CC">
        <w:rPr>
          <w:rFonts w:ascii="Arial Narrow" w:hAnsi="Arial Narrow"/>
          <w:sz w:val="18"/>
          <w:szCs w:val="18"/>
        </w:rPr>
        <w:t>Principal</w:t>
      </w:r>
      <w:proofErr w:type="gramEnd"/>
      <w:r w:rsidRPr="009B53CC">
        <w:rPr>
          <w:rFonts w:ascii="Arial Narrow" w:hAnsi="Arial Narrow"/>
          <w:sz w:val="18"/>
          <w:szCs w:val="18"/>
        </w:rPr>
        <w:t xml:space="preserve"> into disrepute, where the Consultant, in the judgment of the Principal, has engaged in corrupt or fraudulent practices in competing for or executing these terms and conditions, theft of property, offensive behaviour towards the Principals personnel, members of the public or contractors.</w:t>
      </w:r>
    </w:p>
    <w:p w14:paraId="1D69C31F" w14:textId="77777777" w:rsidR="00777D3A" w:rsidRPr="009B53CC" w:rsidRDefault="00777D3A" w:rsidP="00FB4F7B">
      <w:pPr>
        <w:pStyle w:val="ListParagraph"/>
        <w:numPr>
          <w:ilvl w:val="0"/>
          <w:numId w:val="8"/>
        </w:numPr>
        <w:ind w:left="284" w:hanging="284"/>
        <w:jc w:val="both"/>
        <w:rPr>
          <w:rFonts w:ascii="Arial Narrow" w:hAnsi="Arial Narrow"/>
          <w:sz w:val="18"/>
          <w:szCs w:val="18"/>
        </w:rPr>
      </w:pPr>
      <w:r w:rsidRPr="009B53CC">
        <w:rPr>
          <w:rFonts w:ascii="Arial Narrow" w:hAnsi="Arial Narrow"/>
          <w:b/>
          <w:sz w:val="18"/>
          <w:szCs w:val="18"/>
        </w:rPr>
        <w:t>Confidentiality:</w:t>
      </w:r>
      <w:r w:rsidRPr="009B53CC">
        <w:rPr>
          <w:rFonts w:ascii="Arial Narrow" w:hAnsi="Arial Narrow"/>
          <w:sz w:val="18"/>
          <w:szCs w:val="18"/>
        </w:rPr>
        <w:t xml:space="preserve"> The Consultant must keep confidential all information provided by the </w:t>
      </w:r>
      <w:proofErr w:type="gramStart"/>
      <w:r w:rsidRPr="009B53CC">
        <w:rPr>
          <w:rFonts w:ascii="Arial Narrow" w:hAnsi="Arial Narrow"/>
          <w:sz w:val="18"/>
          <w:szCs w:val="18"/>
        </w:rPr>
        <w:t>Principal</w:t>
      </w:r>
      <w:proofErr w:type="gramEnd"/>
      <w:r w:rsidRPr="009B53CC">
        <w:rPr>
          <w:rFonts w:ascii="Arial Narrow" w:hAnsi="Arial Narrow"/>
          <w:sz w:val="18"/>
          <w:szCs w:val="18"/>
        </w:rPr>
        <w:t xml:space="preserve"> in relation to these terms and conditions and the provisions of the Services and not disclose the same without the written consent of the Principal.</w:t>
      </w:r>
    </w:p>
    <w:p w14:paraId="7D6F3A86" w14:textId="77777777" w:rsidR="00777D3A" w:rsidRPr="009B53CC" w:rsidRDefault="00777D3A" w:rsidP="00FB4F7B">
      <w:pPr>
        <w:pStyle w:val="ListParagraph"/>
        <w:numPr>
          <w:ilvl w:val="0"/>
          <w:numId w:val="8"/>
        </w:numPr>
        <w:ind w:left="284" w:hanging="284"/>
        <w:jc w:val="both"/>
        <w:rPr>
          <w:rFonts w:ascii="Arial Narrow" w:hAnsi="Arial Narrow"/>
          <w:sz w:val="18"/>
          <w:szCs w:val="18"/>
        </w:rPr>
      </w:pPr>
      <w:r w:rsidRPr="009B53CC">
        <w:rPr>
          <w:rFonts w:ascii="Arial Narrow" w:hAnsi="Arial Narrow"/>
          <w:b/>
          <w:sz w:val="18"/>
          <w:szCs w:val="18"/>
        </w:rPr>
        <w:t>Public Statements</w:t>
      </w:r>
      <w:r w:rsidRPr="009B53CC">
        <w:rPr>
          <w:rFonts w:ascii="Arial Narrow" w:hAnsi="Arial Narrow"/>
          <w:sz w:val="18"/>
          <w:szCs w:val="18"/>
        </w:rPr>
        <w:t xml:space="preserve">: The Consultant must not make any public statements about the Services or these terms and conditions without the </w:t>
      </w:r>
      <w:proofErr w:type="gramStart"/>
      <w:r w:rsidRPr="009B53CC">
        <w:rPr>
          <w:rFonts w:ascii="Arial Narrow" w:hAnsi="Arial Narrow"/>
          <w:sz w:val="18"/>
          <w:szCs w:val="18"/>
        </w:rPr>
        <w:t>Principals</w:t>
      </w:r>
      <w:proofErr w:type="gramEnd"/>
      <w:r w:rsidRPr="009B53CC">
        <w:rPr>
          <w:rFonts w:ascii="Arial Narrow" w:hAnsi="Arial Narrow"/>
          <w:sz w:val="18"/>
          <w:szCs w:val="18"/>
        </w:rPr>
        <w:t xml:space="preserve"> written approval.</w:t>
      </w:r>
    </w:p>
    <w:p w14:paraId="2F2524B6" w14:textId="77777777" w:rsidR="00777D3A" w:rsidRPr="009B53CC" w:rsidRDefault="00777D3A" w:rsidP="00FB4F7B">
      <w:pPr>
        <w:pStyle w:val="ListParagraph"/>
        <w:numPr>
          <w:ilvl w:val="0"/>
          <w:numId w:val="8"/>
        </w:numPr>
        <w:ind w:left="284" w:hanging="284"/>
        <w:jc w:val="both"/>
        <w:rPr>
          <w:rFonts w:ascii="Arial Narrow" w:hAnsi="Arial Narrow"/>
          <w:sz w:val="18"/>
          <w:szCs w:val="18"/>
        </w:rPr>
      </w:pPr>
      <w:r w:rsidRPr="009B53CC">
        <w:rPr>
          <w:rFonts w:ascii="Arial Narrow" w:hAnsi="Arial Narrow"/>
          <w:b/>
          <w:sz w:val="18"/>
          <w:szCs w:val="18"/>
        </w:rPr>
        <w:t>General Warranties</w:t>
      </w:r>
      <w:r w:rsidRPr="009B53CC">
        <w:rPr>
          <w:rFonts w:ascii="Arial Narrow" w:hAnsi="Arial Narrow"/>
          <w:sz w:val="18"/>
          <w:szCs w:val="18"/>
        </w:rPr>
        <w:t>: The Consultant represents, warrants and undertakes that:</w:t>
      </w:r>
    </w:p>
    <w:p w14:paraId="3EFE21AD" w14:textId="77777777" w:rsidR="00777D3A" w:rsidRPr="009B53CC" w:rsidRDefault="00777D3A" w:rsidP="00777D3A">
      <w:pPr>
        <w:pStyle w:val="ListParagraph"/>
        <w:ind w:left="284" w:hanging="284"/>
        <w:rPr>
          <w:rFonts w:ascii="Arial Narrow" w:hAnsi="Arial Narrow"/>
          <w:sz w:val="18"/>
          <w:szCs w:val="18"/>
        </w:rPr>
      </w:pPr>
      <w:r w:rsidRPr="009B53CC">
        <w:rPr>
          <w:rFonts w:ascii="Arial Narrow" w:hAnsi="Arial Narrow"/>
          <w:sz w:val="18"/>
          <w:szCs w:val="18"/>
        </w:rPr>
        <w:t>a. It has full power, capacity and authority to execute, deliver and perform its obligations under these terms and conditions;</w:t>
      </w:r>
    </w:p>
    <w:p w14:paraId="365EAF3B" w14:textId="77777777" w:rsidR="00777D3A" w:rsidRPr="009B53CC" w:rsidRDefault="00777D3A" w:rsidP="00777D3A">
      <w:pPr>
        <w:pStyle w:val="ListParagraph"/>
        <w:ind w:left="284" w:hanging="284"/>
        <w:rPr>
          <w:rFonts w:ascii="Arial Narrow" w:hAnsi="Arial Narrow"/>
          <w:sz w:val="18"/>
          <w:szCs w:val="18"/>
        </w:rPr>
      </w:pPr>
      <w:r w:rsidRPr="009B53CC">
        <w:rPr>
          <w:rFonts w:ascii="Arial Narrow" w:hAnsi="Arial Narrow"/>
          <w:sz w:val="18"/>
          <w:szCs w:val="18"/>
        </w:rPr>
        <w:t xml:space="preserve">b. It has and will continue to have, all necessary consents, permissions, </w:t>
      </w:r>
      <w:proofErr w:type="spellStart"/>
      <w:r w:rsidRPr="009B53CC">
        <w:rPr>
          <w:rFonts w:ascii="Arial Narrow" w:hAnsi="Arial Narrow"/>
          <w:sz w:val="18"/>
          <w:szCs w:val="18"/>
        </w:rPr>
        <w:t>licences</w:t>
      </w:r>
      <w:proofErr w:type="spellEnd"/>
      <w:r w:rsidRPr="009B53CC">
        <w:rPr>
          <w:rFonts w:ascii="Arial Narrow" w:hAnsi="Arial Narrow"/>
          <w:sz w:val="18"/>
          <w:szCs w:val="18"/>
        </w:rPr>
        <w:t xml:space="preserve"> and rights to enter into and perform its obligations under these terms and conditions;</w:t>
      </w:r>
    </w:p>
    <w:p w14:paraId="69754BEA" w14:textId="77777777" w:rsidR="00777D3A" w:rsidRPr="009B53CC" w:rsidRDefault="00777D3A" w:rsidP="00777D3A">
      <w:pPr>
        <w:pStyle w:val="ListParagraph"/>
        <w:ind w:left="284" w:hanging="284"/>
        <w:rPr>
          <w:rFonts w:ascii="Arial Narrow" w:hAnsi="Arial Narrow"/>
          <w:sz w:val="18"/>
          <w:szCs w:val="18"/>
        </w:rPr>
      </w:pPr>
      <w:r w:rsidRPr="009B53CC">
        <w:rPr>
          <w:rFonts w:ascii="Arial Narrow" w:hAnsi="Arial Narrow"/>
          <w:sz w:val="18"/>
          <w:szCs w:val="18"/>
        </w:rPr>
        <w:t>c. There are no existing agreements, undertakings or arrangements which prevent it from entering into these terms and conditions or which would impede the performance of its obligations under these terms and conditions;</w:t>
      </w:r>
    </w:p>
    <w:p w14:paraId="53EE35E9" w14:textId="77777777" w:rsidR="00777D3A" w:rsidRPr="009B53CC" w:rsidRDefault="00777D3A" w:rsidP="00777D3A">
      <w:pPr>
        <w:pStyle w:val="ListParagraph"/>
        <w:ind w:left="284" w:hanging="284"/>
        <w:rPr>
          <w:rFonts w:ascii="Arial Narrow" w:hAnsi="Arial Narrow"/>
          <w:sz w:val="18"/>
          <w:szCs w:val="18"/>
        </w:rPr>
      </w:pPr>
      <w:r w:rsidRPr="009B53CC">
        <w:rPr>
          <w:rFonts w:ascii="Arial Narrow" w:hAnsi="Arial Narrow"/>
          <w:sz w:val="18"/>
          <w:szCs w:val="18"/>
        </w:rPr>
        <w:t>d. It has not offered any inducement in connection with the entering into or negotiation of these terms and conditions; and</w:t>
      </w:r>
    </w:p>
    <w:p w14:paraId="749706AE" w14:textId="77777777" w:rsidR="00777D3A" w:rsidRPr="009B53CC" w:rsidRDefault="00777D3A" w:rsidP="00777D3A">
      <w:pPr>
        <w:pStyle w:val="ListParagraph"/>
        <w:ind w:left="284" w:hanging="284"/>
        <w:rPr>
          <w:rFonts w:ascii="Arial Narrow" w:hAnsi="Arial Narrow"/>
          <w:sz w:val="18"/>
          <w:szCs w:val="18"/>
        </w:rPr>
      </w:pPr>
      <w:r w:rsidRPr="009B53CC">
        <w:rPr>
          <w:rFonts w:ascii="Arial Narrow" w:hAnsi="Arial Narrow"/>
          <w:sz w:val="18"/>
          <w:szCs w:val="18"/>
        </w:rPr>
        <w:t>e. It is not (nor is any of its representative directors or employees) a party to any litigation, proceedings or disputes which could adversely affect its ability to perform its obligations under these terms and conditions.</w:t>
      </w:r>
    </w:p>
    <w:p w14:paraId="60E835A6" w14:textId="77777777" w:rsidR="00777D3A" w:rsidRPr="009B53CC" w:rsidRDefault="00777D3A" w:rsidP="00777D3A">
      <w:pPr>
        <w:spacing w:after="0"/>
        <w:ind w:left="284" w:hanging="284"/>
        <w:rPr>
          <w:rFonts w:ascii="Arial Narrow" w:hAnsi="Arial Narrow"/>
          <w:sz w:val="18"/>
          <w:szCs w:val="18"/>
        </w:rPr>
      </w:pPr>
      <w:r w:rsidRPr="009B53CC">
        <w:rPr>
          <w:rFonts w:ascii="Arial Narrow" w:hAnsi="Arial Narrow"/>
          <w:b/>
          <w:sz w:val="18"/>
          <w:szCs w:val="18"/>
        </w:rPr>
        <w:t>17. Conflict:</w:t>
      </w:r>
      <w:r w:rsidRPr="009B53CC">
        <w:rPr>
          <w:rFonts w:ascii="Arial Narrow" w:hAnsi="Arial Narrow"/>
          <w:sz w:val="18"/>
          <w:szCs w:val="18"/>
        </w:rPr>
        <w:t xml:space="preserve"> The Consultant confirms it has no knowledge of any conflict of interest in providing the Services.  If any conflict arises or has the potential to arise during the supply of the Services, the Consultant shall immediately inform the </w:t>
      </w:r>
      <w:proofErr w:type="gramStart"/>
      <w:r w:rsidRPr="009B53CC">
        <w:rPr>
          <w:rFonts w:ascii="Arial Narrow" w:hAnsi="Arial Narrow"/>
          <w:sz w:val="18"/>
          <w:szCs w:val="18"/>
        </w:rPr>
        <w:t>Principal</w:t>
      </w:r>
      <w:proofErr w:type="gramEnd"/>
      <w:r w:rsidRPr="009B53CC">
        <w:rPr>
          <w:rFonts w:ascii="Arial Narrow" w:hAnsi="Arial Narrow"/>
          <w:sz w:val="18"/>
          <w:szCs w:val="18"/>
        </w:rPr>
        <w:t xml:space="preserve"> in writing and the Principal will decide on the appropriate steps to be followed in such event, which may include the right of the Principal to terminate these terms and conditions with immediate effect.</w:t>
      </w:r>
    </w:p>
    <w:p w14:paraId="475F05A2" w14:textId="77777777" w:rsidR="00777D3A" w:rsidRPr="009B53CC" w:rsidRDefault="00777D3A" w:rsidP="00777D3A">
      <w:pPr>
        <w:spacing w:after="0"/>
        <w:ind w:left="284" w:hanging="284"/>
        <w:rPr>
          <w:rFonts w:ascii="Arial Narrow" w:hAnsi="Arial Narrow"/>
          <w:sz w:val="18"/>
          <w:szCs w:val="18"/>
        </w:rPr>
      </w:pPr>
      <w:r w:rsidRPr="009B53CC">
        <w:rPr>
          <w:rFonts w:ascii="Arial Narrow" w:hAnsi="Arial Narrow"/>
          <w:b/>
          <w:sz w:val="18"/>
          <w:szCs w:val="18"/>
        </w:rPr>
        <w:t>18. Key Personnel:</w:t>
      </w:r>
      <w:r w:rsidRPr="009B53CC">
        <w:rPr>
          <w:rFonts w:ascii="Arial Narrow" w:hAnsi="Arial Narrow"/>
          <w:sz w:val="18"/>
          <w:szCs w:val="18"/>
        </w:rPr>
        <w:t xml:space="preserve"> The Key Personnel for the provision of the Services are as listed in the Schedule.  Any change to the Key Personnel requires the written consent of the </w:t>
      </w:r>
      <w:proofErr w:type="gramStart"/>
      <w:r w:rsidRPr="009B53CC">
        <w:rPr>
          <w:rFonts w:ascii="Arial Narrow" w:hAnsi="Arial Narrow"/>
          <w:sz w:val="18"/>
          <w:szCs w:val="18"/>
        </w:rPr>
        <w:t>Principal</w:t>
      </w:r>
      <w:proofErr w:type="gramEnd"/>
      <w:r w:rsidRPr="009B53CC">
        <w:rPr>
          <w:rFonts w:ascii="Arial Narrow" w:hAnsi="Arial Narrow"/>
          <w:sz w:val="18"/>
          <w:szCs w:val="18"/>
        </w:rPr>
        <w:t>.</w:t>
      </w:r>
    </w:p>
    <w:p w14:paraId="2367FA02" w14:textId="77777777" w:rsidR="00777D3A" w:rsidRPr="009B53CC" w:rsidRDefault="00777D3A" w:rsidP="00777D3A">
      <w:pPr>
        <w:spacing w:after="0"/>
        <w:ind w:left="284" w:hanging="284"/>
        <w:rPr>
          <w:rFonts w:ascii="Arial Narrow" w:hAnsi="Arial Narrow"/>
          <w:sz w:val="18"/>
          <w:szCs w:val="18"/>
        </w:rPr>
      </w:pPr>
      <w:r w:rsidRPr="009B53CC">
        <w:rPr>
          <w:rFonts w:ascii="Arial Narrow" w:hAnsi="Arial Narrow"/>
          <w:b/>
          <w:sz w:val="18"/>
          <w:szCs w:val="18"/>
        </w:rPr>
        <w:t>19. Assignment:</w:t>
      </w:r>
      <w:r w:rsidRPr="009B53CC">
        <w:rPr>
          <w:rFonts w:ascii="Arial Narrow" w:hAnsi="Arial Narrow"/>
          <w:sz w:val="18"/>
          <w:szCs w:val="18"/>
        </w:rPr>
        <w:t xml:space="preserve"> The Consultant must not assign, transfer or subcontract all or part of its rights or obligations under these terms and conditions without the prior written consent of the </w:t>
      </w:r>
      <w:proofErr w:type="gramStart"/>
      <w:r w:rsidRPr="009B53CC">
        <w:rPr>
          <w:rFonts w:ascii="Arial Narrow" w:hAnsi="Arial Narrow"/>
          <w:sz w:val="18"/>
          <w:szCs w:val="18"/>
        </w:rPr>
        <w:t>Principal</w:t>
      </w:r>
      <w:proofErr w:type="gramEnd"/>
      <w:r w:rsidRPr="009B53CC">
        <w:rPr>
          <w:rFonts w:ascii="Arial Narrow" w:hAnsi="Arial Narrow"/>
          <w:sz w:val="18"/>
          <w:szCs w:val="18"/>
        </w:rPr>
        <w:t>, such consent to be provided at the Principal's absolute discretion.</w:t>
      </w:r>
    </w:p>
    <w:p w14:paraId="66EEF69E" w14:textId="77777777" w:rsidR="00777D3A" w:rsidRPr="009B53CC" w:rsidRDefault="00777D3A" w:rsidP="00777D3A">
      <w:pPr>
        <w:spacing w:after="0"/>
        <w:ind w:left="284" w:hanging="284"/>
        <w:rPr>
          <w:rFonts w:ascii="Arial Narrow" w:hAnsi="Arial Narrow"/>
          <w:sz w:val="18"/>
          <w:szCs w:val="18"/>
        </w:rPr>
      </w:pPr>
      <w:r w:rsidRPr="009B53CC">
        <w:rPr>
          <w:rFonts w:ascii="Arial Narrow" w:hAnsi="Arial Narrow"/>
          <w:b/>
          <w:sz w:val="18"/>
          <w:szCs w:val="18"/>
        </w:rPr>
        <w:t>20. Law:</w:t>
      </w:r>
      <w:r w:rsidRPr="009B53CC">
        <w:rPr>
          <w:rFonts w:ascii="Arial Narrow" w:hAnsi="Arial Narrow"/>
          <w:sz w:val="18"/>
          <w:szCs w:val="18"/>
        </w:rPr>
        <w:t xml:space="preserve"> These terms and conditions are governed by the laws of the Cook Islands.  The parties agree to submit to the exclusive jurisdiction of the High Court of the Cook Islands.</w:t>
      </w:r>
    </w:p>
    <w:p w14:paraId="7877E7B5" w14:textId="77777777" w:rsidR="00777D3A" w:rsidRPr="009B53CC" w:rsidRDefault="00777D3A" w:rsidP="00777D3A">
      <w:pPr>
        <w:spacing w:after="0"/>
        <w:ind w:left="284" w:hanging="284"/>
        <w:rPr>
          <w:rFonts w:ascii="Arial Narrow" w:hAnsi="Arial Narrow"/>
          <w:color w:val="FF0000"/>
          <w:sz w:val="18"/>
          <w:szCs w:val="18"/>
        </w:rPr>
      </w:pPr>
      <w:r w:rsidRPr="009B53CC">
        <w:rPr>
          <w:rFonts w:ascii="Arial Narrow" w:hAnsi="Arial Narrow"/>
          <w:b/>
          <w:sz w:val="18"/>
          <w:szCs w:val="18"/>
        </w:rPr>
        <w:t>21. Dispute Resolution:</w:t>
      </w:r>
      <w:r w:rsidRPr="009B53CC">
        <w:rPr>
          <w:rFonts w:ascii="Arial Narrow" w:hAnsi="Arial Narrow"/>
          <w:sz w:val="18"/>
          <w:szCs w:val="18"/>
        </w:rPr>
        <w:t xml:space="preserve"> In the event of a dispute arising between the parties in respect of any matter relating to this Agreement, the </w:t>
      </w:r>
      <w:proofErr w:type="spellStart"/>
      <w:r w:rsidRPr="009B53CC">
        <w:rPr>
          <w:rFonts w:ascii="Arial Narrow" w:hAnsi="Arial Narrow"/>
          <w:sz w:val="18"/>
          <w:szCs w:val="18"/>
        </w:rPr>
        <w:t>authorised</w:t>
      </w:r>
      <w:proofErr w:type="spellEnd"/>
      <w:r w:rsidRPr="009B53CC">
        <w:rPr>
          <w:rFonts w:ascii="Arial Narrow" w:hAnsi="Arial Narrow"/>
          <w:sz w:val="18"/>
          <w:szCs w:val="18"/>
        </w:rPr>
        <w:t xml:space="preserve"> representatives of the parties must resolve the dispute in the first instance by negotiation.  If the dispute cannot be resolved by negotiation within five days of the notice of dispute having been served by one party on the other, the parties may seek resolution under the Arbitration Act 2014.</w:t>
      </w:r>
    </w:p>
    <w:p w14:paraId="2B010291" w14:textId="77777777" w:rsidR="00777D3A" w:rsidRPr="00174721" w:rsidRDefault="00777D3A" w:rsidP="00777D3A">
      <w:pPr>
        <w:rPr>
          <w:rFonts w:ascii="Arial Narrow" w:hAnsi="Arial Narrow"/>
          <w:b/>
        </w:rPr>
      </w:pPr>
    </w:p>
    <w:p w14:paraId="60CC393C" w14:textId="77777777" w:rsidR="00777D3A" w:rsidRDefault="00777D3A" w:rsidP="00777D3A"/>
    <w:p w14:paraId="15BC945B" w14:textId="77777777" w:rsidR="00777D3A" w:rsidRPr="00133BEA" w:rsidRDefault="00777D3A" w:rsidP="00777D3A">
      <w:pPr>
        <w:spacing w:after="160" w:line="259" w:lineRule="auto"/>
      </w:pPr>
    </w:p>
    <w:p w14:paraId="7E942D90" w14:textId="77777777" w:rsidR="00777D3A" w:rsidRDefault="00777D3A" w:rsidP="00777D3A"/>
    <w:sectPr w:rsidR="00777D3A" w:rsidSect="00D926EE">
      <w:headerReference w:type="default" r:id="rId21"/>
      <w:footerReference w:type="default" r:id="rId2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22C45" w14:textId="77777777" w:rsidR="00542A45" w:rsidRDefault="00542A45" w:rsidP="00777D3A">
      <w:pPr>
        <w:spacing w:after="0" w:line="240" w:lineRule="auto"/>
      </w:pPr>
      <w:r>
        <w:separator/>
      </w:r>
    </w:p>
  </w:endnote>
  <w:endnote w:type="continuationSeparator" w:id="0">
    <w:p w14:paraId="0ACED017" w14:textId="77777777" w:rsidR="00542A45" w:rsidRDefault="00542A45" w:rsidP="00777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2FB8" w14:textId="77777777" w:rsidR="00E205E8" w:rsidRPr="00E408AB" w:rsidRDefault="00E205E8" w:rsidP="006016AC">
    <w:pPr>
      <w:pStyle w:val="Footer"/>
      <w:jc w:val="center"/>
      <w:rPr>
        <w:rFonts w:ascii="Helvetica Neue" w:hAnsi="Helvetica Neue"/>
      </w:rPr>
    </w:pPr>
    <w:r>
      <w:rPr>
        <w:rFonts w:ascii="Helvetica Neue" w:hAnsi="Helvetica Neue"/>
      </w:rPr>
      <w:t>Request for Quotes</w:t>
    </w:r>
    <w:r w:rsidRPr="00E408AB">
      <w:rPr>
        <w:rFonts w:ascii="Helvetica Neue" w:hAnsi="Helvetica Neue"/>
      </w:rPr>
      <w:t xml:space="preserve"> || </w:t>
    </w:r>
    <w:r w:rsidRPr="00E408AB">
      <w:rPr>
        <w:rStyle w:val="PageNumber"/>
        <w:rFonts w:ascii="Helvetica Neue" w:hAnsi="Helvetica Neue"/>
      </w:rPr>
      <w:fldChar w:fldCharType="begin"/>
    </w:r>
    <w:r w:rsidRPr="00E408AB">
      <w:rPr>
        <w:rStyle w:val="PageNumber"/>
        <w:rFonts w:ascii="Helvetica Neue" w:hAnsi="Helvetica Neue"/>
      </w:rPr>
      <w:instrText xml:space="preserve"> PAGE </w:instrText>
    </w:r>
    <w:r w:rsidRPr="00E408AB">
      <w:rPr>
        <w:rStyle w:val="PageNumber"/>
        <w:rFonts w:ascii="Helvetica Neue" w:hAnsi="Helvetica Neue"/>
      </w:rPr>
      <w:fldChar w:fldCharType="separate"/>
    </w:r>
    <w:r>
      <w:rPr>
        <w:rStyle w:val="PageNumber"/>
        <w:rFonts w:ascii="Helvetica Neue" w:hAnsi="Helvetica Neue"/>
        <w:noProof/>
      </w:rPr>
      <w:t>1</w:t>
    </w:r>
    <w:r w:rsidRPr="00E408AB">
      <w:rPr>
        <w:rStyle w:val="PageNumber"/>
        <w:rFonts w:ascii="Helvetica Neue" w:hAnsi="Helvetica Neue"/>
      </w:rPr>
      <w:fldChar w:fldCharType="end"/>
    </w:r>
  </w:p>
  <w:p w14:paraId="32DC8F1E" w14:textId="77777777" w:rsidR="00E205E8" w:rsidRPr="007972A2" w:rsidRDefault="00E205E8" w:rsidP="006016AC">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335C0" w14:textId="77777777" w:rsidR="00E205E8" w:rsidRPr="00520F2A" w:rsidRDefault="00E205E8" w:rsidP="006016AC">
    <w:pPr>
      <w:pStyle w:val="Footer"/>
      <w:rPr>
        <w:lang w:val="en-NZ"/>
      </w:rPr>
    </w:pPr>
    <w:r>
      <w:rPr>
        <w:noProof/>
      </w:rPr>
      <w:fldChar w:fldCharType="begin"/>
    </w:r>
    <w:r>
      <w:rPr>
        <w:noProof/>
      </w:rPr>
      <w:instrText xml:space="preserve"> FILENAME  \* MERGEFORMAT </w:instrText>
    </w:r>
    <w:r>
      <w:rPr>
        <w:noProof/>
      </w:rPr>
      <w:fldChar w:fldCharType="separate"/>
    </w:r>
    <w:r>
      <w:rPr>
        <w:noProof/>
      </w:rPr>
      <w:t>2029 PMG RFQ + TOR April 2026</w:t>
    </w:r>
    <w:r>
      <w:rPr>
        <w:noProof/>
      </w:rPr>
      <w:fldChar w:fldCharType="end"/>
    </w:r>
    <w:r>
      <w:tab/>
    </w:r>
    <w:r>
      <w:rPr>
        <w:lang w:val="en-NZ"/>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423EE" w14:textId="77777777" w:rsidR="00E205E8" w:rsidRPr="00E408AB" w:rsidRDefault="00E205E8" w:rsidP="006016AC">
    <w:pPr>
      <w:pStyle w:val="Footer"/>
      <w:jc w:val="center"/>
      <w:rPr>
        <w:rFonts w:ascii="Helvetica Neue" w:hAnsi="Helvetica Neue"/>
      </w:rPr>
    </w:pPr>
    <w:r>
      <w:rPr>
        <w:rFonts w:ascii="Helvetica Neue" w:hAnsi="Helvetica Neue"/>
      </w:rPr>
      <w:t>Request for Quotes</w:t>
    </w:r>
    <w:r w:rsidRPr="00E408AB">
      <w:rPr>
        <w:rFonts w:ascii="Helvetica Neue" w:hAnsi="Helvetica Neue"/>
      </w:rPr>
      <w:t xml:space="preserve"> || </w:t>
    </w:r>
    <w:r w:rsidRPr="00E408AB">
      <w:rPr>
        <w:rStyle w:val="PageNumber"/>
        <w:rFonts w:ascii="Helvetica Neue" w:hAnsi="Helvetica Neue"/>
      </w:rPr>
      <w:fldChar w:fldCharType="begin"/>
    </w:r>
    <w:r w:rsidRPr="00E408AB">
      <w:rPr>
        <w:rStyle w:val="PageNumber"/>
        <w:rFonts w:ascii="Helvetica Neue" w:hAnsi="Helvetica Neue"/>
      </w:rPr>
      <w:instrText xml:space="preserve"> PAGE </w:instrText>
    </w:r>
    <w:r w:rsidRPr="00E408AB">
      <w:rPr>
        <w:rStyle w:val="PageNumber"/>
        <w:rFonts w:ascii="Helvetica Neue" w:hAnsi="Helvetica Neue"/>
      </w:rPr>
      <w:fldChar w:fldCharType="separate"/>
    </w:r>
    <w:r>
      <w:rPr>
        <w:rStyle w:val="PageNumber"/>
        <w:rFonts w:ascii="Helvetica Neue" w:hAnsi="Helvetica Neue"/>
        <w:noProof/>
      </w:rPr>
      <w:t>4</w:t>
    </w:r>
    <w:r w:rsidRPr="00E408AB">
      <w:rPr>
        <w:rStyle w:val="PageNumber"/>
        <w:rFonts w:ascii="Helvetica Neue" w:hAnsi="Helvetica Neue"/>
      </w:rPr>
      <w:fldChar w:fldCharType="end"/>
    </w:r>
  </w:p>
  <w:p w14:paraId="5D236E53" w14:textId="77777777" w:rsidR="00E205E8" w:rsidRPr="007972A2" w:rsidRDefault="00E205E8" w:rsidP="006016AC">
    <w:pPr>
      <w:pStyle w:val="Footer"/>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8A4E0" w14:textId="77777777" w:rsidR="00E205E8" w:rsidRPr="00520F2A" w:rsidRDefault="00E205E8" w:rsidP="006016AC">
    <w:pPr>
      <w:pStyle w:val="Footer"/>
      <w:rPr>
        <w:lang w:val="en-NZ"/>
      </w:rPr>
    </w:pPr>
    <w:r>
      <w:rPr>
        <w:noProof/>
      </w:rPr>
      <w:fldChar w:fldCharType="begin"/>
    </w:r>
    <w:r>
      <w:rPr>
        <w:noProof/>
      </w:rPr>
      <w:instrText xml:space="preserve"> FILENAME  \* MERGEFORMAT </w:instrText>
    </w:r>
    <w:r>
      <w:rPr>
        <w:noProof/>
      </w:rPr>
      <w:fldChar w:fldCharType="separate"/>
    </w:r>
    <w:r>
      <w:rPr>
        <w:noProof/>
      </w:rPr>
      <w:t>2029 PMG RFQ + TOR April 2026</w:t>
    </w:r>
    <w:r>
      <w:rPr>
        <w:noProof/>
      </w:rPr>
      <w:fldChar w:fldCharType="end"/>
    </w:r>
    <w:r>
      <w:tab/>
    </w:r>
    <w:r>
      <w:rPr>
        <w:lang w:val="en-NZ"/>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9818530"/>
      <w:docPartObj>
        <w:docPartGallery w:val="Page Numbers (Bottom of Page)"/>
        <w:docPartUnique/>
      </w:docPartObj>
    </w:sdtPr>
    <w:sdtEndPr>
      <w:rPr>
        <w:noProof/>
      </w:rPr>
    </w:sdtEndPr>
    <w:sdtContent>
      <w:p w14:paraId="54A5934C" w14:textId="77777777" w:rsidR="0013063E" w:rsidRDefault="0013063E">
        <w:pPr>
          <w:pStyle w:val="Footer"/>
          <w:jc w:val="center"/>
        </w:pPr>
        <w:r>
          <w:fldChar w:fldCharType="begin"/>
        </w:r>
        <w:r>
          <w:instrText xml:space="preserve"> PAGE   \* MERGEFORMAT </w:instrText>
        </w:r>
        <w:r>
          <w:fldChar w:fldCharType="separate"/>
        </w:r>
        <w:r w:rsidR="00E0377C">
          <w:rPr>
            <w:noProof/>
          </w:rPr>
          <w:t>1</w:t>
        </w:r>
        <w:r>
          <w:rPr>
            <w:noProof/>
          </w:rPr>
          <w:fldChar w:fldCharType="end"/>
        </w:r>
      </w:p>
    </w:sdtContent>
  </w:sdt>
  <w:p w14:paraId="6F10A917" w14:textId="77777777" w:rsidR="0013063E" w:rsidRDefault="00130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40990" w14:textId="77777777" w:rsidR="00542A45" w:rsidRDefault="00542A45" w:rsidP="00777D3A">
      <w:pPr>
        <w:spacing w:after="0" w:line="240" w:lineRule="auto"/>
      </w:pPr>
      <w:r>
        <w:separator/>
      </w:r>
    </w:p>
  </w:footnote>
  <w:footnote w:type="continuationSeparator" w:id="0">
    <w:p w14:paraId="7E9A76D8" w14:textId="77777777" w:rsidR="00542A45" w:rsidRDefault="00542A45" w:rsidP="00777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693D3" w14:textId="77777777" w:rsidR="00E205E8" w:rsidRDefault="00E205E8" w:rsidP="006016AC">
    <w:pPr>
      <w:pStyle w:val="Header"/>
    </w:pPr>
    <w:r>
      <w:rPr>
        <w:noProof/>
        <w:lang w:val="en-AU" w:eastAsia="en-AU"/>
      </w:rPr>
      <w:drawing>
        <wp:anchor distT="0" distB="0" distL="114300" distR="114300" simplePos="0" relativeHeight="251660288" behindDoc="1" locked="0" layoutInCell="1" allowOverlap="1" wp14:anchorId="40F09DD9" wp14:editId="69E46293">
          <wp:simplePos x="0" y="0"/>
          <wp:positionH relativeFrom="column">
            <wp:posOffset>2611120</wp:posOffset>
          </wp:positionH>
          <wp:positionV relativeFrom="paragraph">
            <wp:posOffset>2080</wp:posOffset>
          </wp:positionV>
          <wp:extent cx="284479" cy="305305"/>
          <wp:effectExtent l="0" t="0" r="190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4479" cy="3053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43BB" w14:textId="77777777" w:rsidR="00E205E8" w:rsidRDefault="00E205E8" w:rsidP="006016AC">
    <w:pPr>
      <w:pStyle w:val="Header"/>
    </w:pPr>
    <w:r>
      <w:rPr>
        <w:noProof/>
        <w:lang w:val="en-AU" w:eastAsia="en-AU"/>
      </w:rPr>
      <w:drawing>
        <wp:anchor distT="0" distB="0" distL="114300" distR="114300" simplePos="0" relativeHeight="251659264" behindDoc="1" locked="0" layoutInCell="1" allowOverlap="1" wp14:anchorId="79A68BF2" wp14:editId="0553CE5C">
          <wp:simplePos x="0" y="0"/>
          <wp:positionH relativeFrom="column">
            <wp:posOffset>2611120</wp:posOffset>
          </wp:positionH>
          <wp:positionV relativeFrom="paragraph">
            <wp:posOffset>2080</wp:posOffset>
          </wp:positionV>
          <wp:extent cx="284479" cy="305305"/>
          <wp:effectExtent l="0" t="0" r="1905"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4479" cy="30530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8244" w14:textId="77777777" w:rsidR="0013063E" w:rsidRDefault="0013063E" w:rsidP="00777D3A">
    <w:pPr>
      <w:pStyle w:val="Header"/>
      <w:jc w:val="center"/>
    </w:pPr>
    <w:r>
      <w:rPr>
        <w:noProof/>
        <w:lang w:val="en-AU" w:eastAsia="en-AU"/>
      </w:rPr>
      <w:drawing>
        <wp:inline distT="0" distB="0" distL="0" distR="0" wp14:anchorId="3D3EB67E" wp14:editId="29EBDE69">
          <wp:extent cx="314960" cy="3149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960" cy="314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4B2416B"/>
    <w:multiLevelType w:val="hybridMultilevel"/>
    <w:tmpl w:val="EDB853B6"/>
    <w:lvl w:ilvl="0" w:tplc="C0C6EF16">
      <w:start w:val="1"/>
      <w:numFmt w:val="bullet"/>
      <w:lvlText w:val="•"/>
      <w:lvlJc w:val="left"/>
      <w:pPr>
        <w:ind w:left="720" w:hanging="360"/>
      </w:pPr>
    </w:lvl>
    <w:lvl w:ilvl="1" w:tplc="9D24D424">
      <w:numFmt w:val="decimal"/>
      <w:lvlText w:val=""/>
      <w:lvlJc w:val="left"/>
    </w:lvl>
    <w:lvl w:ilvl="2" w:tplc="1E2CE3B4">
      <w:numFmt w:val="decimal"/>
      <w:lvlText w:val=""/>
      <w:lvlJc w:val="left"/>
    </w:lvl>
    <w:lvl w:ilvl="3" w:tplc="3564BCD4">
      <w:numFmt w:val="decimal"/>
      <w:lvlText w:val=""/>
      <w:lvlJc w:val="left"/>
    </w:lvl>
    <w:lvl w:ilvl="4" w:tplc="8CB0D770">
      <w:numFmt w:val="decimal"/>
      <w:lvlText w:val=""/>
      <w:lvlJc w:val="left"/>
    </w:lvl>
    <w:lvl w:ilvl="5" w:tplc="641622AC">
      <w:numFmt w:val="decimal"/>
      <w:lvlText w:val=""/>
      <w:lvlJc w:val="left"/>
    </w:lvl>
    <w:lvl w:ilvl="6" w:tplc="A71C674C">
      <w:numFmt w:val="decimal"/>
      <w:lvlText w:val=""/>
      <w:lvlJc w:val="left"/>
    </w:lvl>
    <w:lvl w:ilvl="7" w:tplc="527E3128">
      <w:numFmt w:val="decimal"/>
      <w:lvlText w:val=""/>
      <w:lvlJc w:val="left"/>
    </w:lvl>
    <w:lvl w:ilvl="8" w:tplc="36F265BA">
      <w:numFmt w:val="decimal"/>
      <w:lvlText w:val=""/>
      <w:lvlJc w:val="left"/>
    </w:lvl>
  </w:abstractNum>
  <w:abstractNum w:abstractNumId="7" w15:restartNumberingAfterBreak="0">
    <w:nsid w:val="079C16FA"/>
    <w:multiLevelType w:val="hybridMultilevel"/>
    <w:tmpl w:val="38D24D1E"/>
    <w:lvl w:ilvl="0" w:tplc="286E90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E7569"/>
    <w:multiLevelType w:val="hybridMultilevel"/>
    <w:tmpl w:val="39BE90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24399F"/>
    <w:multiLevelType w:val="hybridMultilevel"/>
    <w:tmpl w:val="61126F26"/>
    <w:lvl w:ilvl="0" w:tplc="993870C0">
      <w:start w:val="1"/>
      <w:numFmt w:val="decimal"/>
      <w:pStyle w:val="Conditionssubhead"/>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C823056"/>
    <w:multiLevelType w:val="hybridMultilevel"/>
    <w:tmpl w:val="B62C5386"/>
    <w:lvl w:ilvl="0" w:tplc="14090001">
      <w:start w:val="1"/>
      <w:numFmt w:val="bullet"/>
      <w:lvlText w:val=""/>
      <w:lvlJc w:val="left"/>
      <w:pPr>
        <w:ind w:left="720" w:hanging="360"/>
      </w:pPr>
      <w:rPr>
        <w:rFonts w:ascii="Symbol" w:hAnsi="Symbol" w:hint="default"/>
      </w:rPr>
    </w:lvl>
    <w:lvl w:ilvl="1" w:tplc="B0C4DCFC">
      <w:numFmt w:val="bullet"/>
      <w:lvlText w:val="-"/>
      <w:lvlJc w:val="left"/>
      <w:pPr>
        <w:ind w:left="1440" w:hanging="360"/>
      </w:pPr>
      <w:rPr>
        <w:rFonts w:ascii="Calibri" w:eastAsia="Times New Roman"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D6C70F9"/>
    <w:multiLevelType w:val="hybridMultilevel"/>
    <w:tmpl w:val="B4ACE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E413B1"/>
    <w:multiLevelType w:val="hybridMultilevel"/>
    <w:tmpl w:val="74B848AC"/>
    <w:lvl w:ilvl="0" w:tplc="5FFEE9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11"/>
  </w:num>
  <w:num w:numId="8">
    <w:abstractNumId w:val="12"/>
  </w:num>
  <w:num w:numId="9">
    <w:abstractNumId w:val="7"/>
  </w:num>
  <w:num w:numId="10">
    <w:abstractNumId w:val="6"/>
    <w:lvlOverride w:ilvl="0">
      <w:startOverride w:val="1"/>
    </w:lvlOverride>
  </w:num>
  <w:num w:numId="11">
    <w:abstractNumId w:val="10"/>
  </w:num>
  <w:num w:numId="12">
    <w:abstractNumId w:val="9"/>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B2875"/>
    <w:rsid w:val="000B5D45"/>
    <w:rsid w:val="001126B3"/>
    <w:rsid w:val="0013063E"/>
    <w:rsid w:val="0015074B"/>
    <w:rsid w:val="001763DF"/>
    <w:rsid w:val="00183F01"/>
    <w:rsid w:val="001C0BB6"/>
    <w:rsid w:val="001D798D"/>
    <w:rsid w:val="001F5897"/>
    <w:rsid w:val="00216D27"/>
    <w:rsid w:val="00243162"/>
    <w:rsid w:val="00252380"/>
    <w:rsid w:val="00257439"/>
    <w:rsid w:val="002801A4"/>
    <w:rsid w:val="002824FD"/>
    <w:rsid w:val="00283512"/>
    <w:rsid w:val="00294C0A"/>
    <w:rsid w:val="0029639D"/>
    <w:rsid w:val="002B36F9"/>
    <w:rsid w:val="002F54D1"/>
    <w:rsid w:val="00325272"/>
    <w:rsid w:val="00326F90"/>
    <w:rsid w:val="00350991"/>
    <w:rsid w:val="00357ECC"/>
    <w:rsid w:val="00404F83"/>
    <w:rsid w:val="00456B88"/>
    <w:rsid w:val="00482351"/>
    <w:rsid w:val="005209F6"/>
    <w:rsid w:val="00542A45"/>
    <w:rsid w:val="00640660"/>
    <w:rsid w:val="0070001B"/>
    <w:rsid w:val="00735E27"/>
    <w:rsid w:val="00777D3A"/>
    <w:rsid w:val="007D3FA9"/>
    <w:rsid w:val="007E1DA9"/>
    <w:rsid w:val="007F6C72"/>
    <w:rsid w:val="008905D3"/>
    <w:rsid w:val="008905E0"/>
    <w:rsid w:val="00894C10"/>
    <w:rsid w:val="008F0AC7"/>
    <w:rsid w:val="009541B2"/>
    <w:rsid w:val="00971E11"/>
    <w:rsid w:val="00977300"/>
    <w:rsid w:val="00993238"/>
    <w:rsid w:val="009B784B"/>
    <w:rsid w:val="009F3742"/>
    <w:rsid w:val="00AA1D8D"/>
    <w:rsid w:val="00AA646F"/>
    <w:rsid w:val="00B47730"/>
    <w:rsid w:val="00BE7D04"/>
    <w:rsid w:val="00C229A8"/>
    <w:rsid w:val="00CA0260"/>
    <w:rsid w:val="00CA732A"/>
    <w:rsid w:val="00CB0664"/>
    <w:rsid w:val="00CE64C1"/>
    <w:rsid w:val="00D16915"/>
    <w:rsid w:val="00D32BD2"/>
    <w:rsid w:val="00D428B9"/>
    <w:rsid w:val="00D926EE"/>
    <w:rsid w:val="00E0377C"/>
    <w:rsid w:val="00E205E8"/>
    <w:rsid w:val="00E402CB"/>
    <w:rsid w:val="00E712E4"/>
    <w:rsid w:val="00E724E7"/>
    <w:rsid w:val="00FB4F7B"/>
    <w:rsid w:val="00FC693F"/>
    <w:rsid w:val="00FF1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BB4346"/>
  <w14:defaultImageDpi w14:val="300"/>
  <w15:docId w15:val="{A7DE23B7-2DC9-49EC-9D1E-699B1FBE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01B"/>
    <w:rPr>
      <w:rFonts w:ascii="Calibri" w:hAnsi="Calibri" w:cs="Calibri"/>
    </w:rPr>
  </w:style>
  <w:style w:type="paragraph" w:styleId="Heading1">
    <w:name w:val="heading 1"/>
    <w:basedOn w:val="Normal"/>
    <w:next w:val="Normal"/>
    <w:link w:val="Heading1Char"/>
    <w:uiPriority w:val="9"/>
    <w:qFormat/>
    <w:rsid w:val="00D926EE"/>
    <w:pPr>
      <w:spacing w:before="240" w:after="0" w:line="288" w:lineRule="auto"/>
      <w:outlineLvl w:val="0"/>
    </w:pPr>
    <w:rPr>
      <w:rFonts w:ascii="Helvetica Neue" w:eastAsia="Times New Roman" w:hAnsi="Helvetica Neue" w:cs="Arial"/>
      <w:color w:val="D4552F"/>
      <w:sz w:val="28"/>
      <w:szCs w:val="28"/>
      <w:lang w:val="en-NZ" w:bidi="ar-DZ"/>
    </w:rPr>
  </w:style>
  <w:style w:type="paragraph" w:styleId="Heading2">
    <w:name w:val="heading 2"/>
    <w:basedOn w:val="Normal"/>
    <w:next w:val="Normal"/>
    <w:link w:val="Heading2Char"/>
    <w:uiPriority w:val="9"/>
    <w:unhideWhenUsed/>
    <w:qFormat/>
    <w:rsid w:val="00257439"/>
    <w:pPr>
      <w:keepNext/>
      <w:keepLines/>
      <w:spacing w:before="200" w:after="240"/>
      <w:outlineLvl w:val="1"/>
    </w:pPr>
    <w:rPr>
      <w:rFonts w:asciiTheme="majorHAnsi" w:eastAsiaTheme="majorEastAsia" w:hAnsiTheme="majorHAnsi" w:cstheme="majorBidi"/>
      <w:b/>
      <w:bCs/>
      <w:sz w:val="24"/>
      <w:szCs w:val="26"/>
      <w:lang w:bidi="ar-DZ"/>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D926EE"/>
    <w:rPr>
      <w:rFonts w:ascii="Helvetica Neue" w:eastAsia="Times New Roman" w:hAnsi="Helvetica Neue" w:cs="Arial"/>
      <w:color w:val="D4552F"/>
      <w:sz w:val="28"/>
      <w:szCs w:val="28"/>
      <w:lang w:val="en-NZ" w:bidi="ar-DZ"/>
    </w:rPr>
  </w:style>
  <w:style w:type="character" w:customStyle="1" w:styleId="Heading2Char">
    <w:name w:val="Heading 2 Char"/>
    <w:basedOn w:val="DefaultParagraphFont"/>
    <w:link w:val="Heading2"/>
    <w:uiPriority w:val="9"/>
    <w:rsid w:val="00257439"/>
    <w:rPr>
      <w:rFonts w:asciiTheme="majorHAnsi" w:eastAsiaTheme="majorEastAsia" w:hAnsiTheme="majorHAnsi" w:cstheme="majorBidi"/>
      <w:b/>
      <w:bCs/>
      <w:sz w:val="24"/>
      <w:szCs w:val="26"/>
      <w:lang w:bidi="ar-DZ"/>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777D3A"/>
    <w:pPr>
      <w:pBdr>
        <w:bottom w:val="single" w:sz="4" w:space="1" w:color="auto"/>
      </w:pBdr>
      <w:spacing w:after="0" w:line="240" w:lineRule="auto"/>
      <w:jc w:val="center"/>
      <w:outlineLvl w:val="0"/>
    </w:pPr>
    <w:rPr>
      <w:rFonts w:ascii="Helvetica Neue" w:eastAsia="Times New Roman" w:hAnsi="Helvetica Neue" w:cs="Arial"/>
      <w:sz w:val="32"/>
      <w:szCs w:val="32"/>
      <w:lang w:val="en-NZ" w:bidi="ar-DZ"/>
    </w:rPr>
  </w:style>
  <w:style w:type="character" w:customStyle="1" w:styleId="TitleChar">
    <w:name w:val="Title Char"/>
    <w:basedOn w:val="DefaultParagraphFont"/>
    <w:link w:val="Title"/>
    <w:uiPriority w:val="10"/>
    <w:rsid w:val="00777D3A"/>
    <w:rPr>
      <w:rFonts w:ascii="Helvetica Neue" w:eastAsia="Times New Roman" w:hAnsi="Helvetica Neue" w:cs="Arial"/>
      <w:sz w:val="32"/>
      <w:szCs w:val="32"/>
      <w:lang w:val="en-NZ" w:bidi="ar-DZ"/>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Table/Figure Heading,En tête 1,List Paragraph1,References,Numbered List Paragraph,Bullets,List Paragraph (numbered (a)),List Paragraph nowy,Liste 1,WB List Paragraph,Ha,Dot pt,F5 List Paragraph,No Spacing1,List Paragraph Char Char Char,L"/>
    <w:basedOn w:val="Normal"/>
    <w:link w:val="ListParagraphChar"/>
    <w:uiPriority w:val="1"/>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ListParagraphChar">
    <w:name w:val="List Paragraph Char"/>
    <w:aliases w:val="Table/Figure Heading Char,En tête 1 Char,List Paragraph1 Char,References Char,Numbered List Paragraph Char,Bullets Char,List Paragraph (numbered (a)) Char,List Paragraph nowy Char,Liste 1 Char,WB List Paragraph Char,Ha Char,L Char"/>
    <w:basedOn w:val="DefaultParagraphFont"/>
    <w:link w:val="ListParagraph"/>
    <w:uiPriority w:val="1"/>
    <w:qFormat/>
    <w:rsid w:val="00777D3A"/>
    <w:rPr>
      <w:rFonts w:ascii="Calibri" w:hAnsi="Calibri" w:cs="Calibri"/>
    </w:rPr>
  </w:style>
  <w:style w:type="table" w:styleId="GridTable1Light">
    <w:name w:val="Grid Table 1 Light"/>
    <w:basedOn w:val="TableNormal"/>
    <w:uiPriority w:val="46"/>
    <w:rsid w:val="00777D3A"/>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77D3A"/>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styleId="Hyperlink">
    <w:name w:val="Hyperlink"/>
    <w:rsid w:val="00D926EE"/>
    <w:rPr>
      <w:color w:val="0000FF"/>
      <w:u w:val="single"/>
    </w:rPr>
  </w:style>
  <w:style w:type="paragraph" w:styleId="NormalWeb">
    <w:name w:val="Normal (Web)"/>
    <w:basedOn w:val="Normal"/>
    <w:uiPriority w:val="99"/>
    <w:semiHidden/>
    <w:unhideWhenUsed/>
    <w:rsid w:val="0013063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table" w:styleId="PlainTable2">
    <w:name w:val="Plain Table 2"/>
    <w:basedOn w:val="TableNormal"/>
    <w:uiPriority w:val="42"/>
    <w:rsid w:val="001763DF"/>
    <w:pPr>
      <w:spacing w:after="0" w:line="240" w:lineRule="auto"/>
    </w:pPr>
    <w:rPr>
      <w:rFonts w:eastAsiaTheme="minorHAnsi"/>
      <w:lang w:val="en-NZ"/>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1">
    <w:name w:val="Grid Table 1 Light Accent 1"/>
    <w:basedOn w:val="TableNormal"/>
    <w:uiPriority w:val="46"/>
    <w:rsid w:val="00FF185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229A8"/>
    <w:rPr>
      <w:sz w:val="16"/>
      <w:szCs w:val="16"/>
    </w:rPr>
  </w:style>
  <w:style w:type="paragraph" w:styleId="CommentText">
    <w:name w:val="annotation text"/>
    <w:basedOn w:val="Normal"/>
    <w:link w:val="CommentTextChar"/>
    <w:uiPriority w:val="99"/>
    <w:semiHidden/>
    <w:unhideWhenUsed/>
    <w:rsid w:val="00C229A8"/>
    <w:pPr>
      <w:spacing w:line="240" w:lineRule="auto"/>
    </w:pPr>
    <w:rPr>
      <w:sz w:val="20"/>
      <w:szCs w:val="20"/>
    </w:rPr>
  </w:style>
  <w:style w:type="character" w:customStyle="1" w:styleId="CommentTextChar">
    <w:name w:val="Comment Text Char"/>
    <w:basedOn w:val="DefaultParagraphFont"/>
    <w:link w:val="CommentText"/>
    <w:uiPriority w:val="99"/>
    <w:semiHidden/>
    <w:rsid w:val="00C229A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229A8"/>
    <w:rPr>
      <w:b/>
      <w:bCs/>
    </w:rPr>
  </w:style>
  <w:style w:type="character" w:customStyle="1" w:styleId="CommentSubjectChar">
    <w:name w:val="Comment Subject Char"/>
    <w:basedOn w:val="CommentTextChar"/>
    <w:link w:val="CommentSubject"/>
    <w:uiPriority w:val="99"/>
    <w:semiHidden/>
    <w:rsid w:val="00C229A8"/>
    <w:rPr>
      <w:rFonts w:ascii="Calibri" w:hAnsi="Calibri" w:cs="Calibri"/>
      <w:b/>
      <w:bCs/>
      <w:sz w:val="20"/>
      <w:szCs w:val="20"/>
    </w:rPr>
  </w:style>
  <w:style w:type="character" w:styleId="PageNumber">
    <w:name w:val="page number"/>
    <w:basedOn w:val="DefaultParagraphFont"/>
    <w:rsid w:val="00E205E8"/>
  </w:style>
  <w:style w:type="paragraph" w:customStyle="1" w:styleId="Conditionssubhead">
    <w:name w:val="Conditions subhead"/>
    <w:basedOn w:val="ListParagraph"/>
    <w:link w:val="ConditionssubheadChar"/>
    <w:qFormat/>
    <w:rsid w:val="00E205E8"/>
    <w:pPr>
      <w:numPr>
        <w:numId w:val="12"/>
      </w:numPr>
      <w:spacing w:before="240" w:after="120" w:line="264" w:lineRule="auto"/>
      <w:jc w:val="both"/>
    </w:pPr>
    <w:rPr>
      <w:rFonts w:eastAsia="Times New Roman" w:cs="Times New Roman"/>
      <w:b/>
      <w:lang w:val="en-NZ" w:eastAsia="en-NZ"/>
    </w:rPr>
  </w:style>
  <w:style w:type="character" w:customStyle="1" w:styleId="ConditionssubheadChar">
    <w:name w:val="Conditions subhead Char"/>
    <w:basedOn w:val="ListParagraphChar"/>
    <w:link w:val="Conditionssubhead"/>
    <w:rsid w:val="00E205E8"/>
    <w:rPr>
      <w:rFonts w:ascii="Calibri" w:eastAsia="Times New Roman" w:hAnsi="Calibri" w:cs="Times New Roman"/>
      <w:b/>
      <w:lang w:val="en-NZ" w:eastAsia="en-NZ"/>
    </w:rPr>
  </w:style>
  <w:style w:type="paragraph" w:customStyle="1" w:styleId="08NormalTextSpiire">
    <w:name w:val="08 Normal Text Spiire"/>
    <w:basedOn w:val="Normal"/>
    <w:link w:val="08NormalTextSpiireChar"/>
    <w:qFormat/>
    <w:rsid w:val="00E205E8"/>
    <w:pPr>
      <w:spacing w:before="120" w:after="0"/>
    </w:pPr>
    <w:rPr>
      <w:rFonts w:eastAsia="Calibri"/>
      <w:lang w:val="en-AU" w:bidi="ar-DZ"/>
    </w:rPr>
  </w:style>
  <w:style w:type="character" w:customStyle="1" w:styleId="08NormalTextSpiireChar">
    <w:name w:val="08 Normal Text Spiire Char"/>
    <w:link w:val="08NormalTextSpiire"/>
    <w:rsid w:val="00E205E8"/>
    <w:rPr>
      <w:rFonts w:ascii="Calibri" w:eastAsia="Calibri" w:hAnsi="Calibri" w:cs="Calibri"/>
      <w:lang w:val="en-AU" w:bidi="ar-DZ"/>
    </w:rPr>
  </w:style>
  <w:style w:type="character" w:styleId="UnresolvedMention">
    <w:name w:val="Unresolved Mention"/>
    <w:basedOn w:val="DefaultParagraphFont"/>
    <w:uiPriority w:val="99"/>
    <w:semiHidden/>
    <w:unhideWhenUsed/>
    <w:rsid w:val="00E20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133986">
      <w:bodyDiv w:val="1"/>
      <w:marLeft w:val="0"/>
      <w:marRight w:val="0"/>
      <w:marTop w:val="0"/>
      <w:marBottom w:val="0"/>
      <w:divBdr>
        <w:top w:val="none" w:sz="0" w:space="0" w:color="auto"/>
        <w:left w:val="none" w:sz="0" w:space="0" w:color="auto"/>
        <w:bottom w:val="none" w:sz="0" w:space="0" w:color="auto"/>
        <w:right w:val="none" w:sz="0" w:space="0" w:color="auto"/>
      </w:divBdr>
      <w:divsChild>
        <w:div w:id="138498823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oy.penno@cookislands.gov.ck" TargetMode="External"/><Relationship Id="rId13" Type="http://schemas.openxmlformats.org/officeDocument/2006/relationships/hyperlink" Target="mailto:troy.penno@cookislands.gov.ck"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troy.penno@cookislands.gov.ck" TargetMode="External"/><Relationship Id="rId17" Type="http://schemas.openxmlformats.org/officeDocument/2006/relationships/hyperlink" Target="http://www.btib.gov.ck"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D7AEA-BDB1-4D17-B876-93AC727F5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4503</Words>
  <Characters>25671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Vasie Ngatoko-Poila</cp:lastModifiedBy>
  <cp:revision>4</cp:revision>
  <dcterms:created xsi:type="dcterms:W3CDTF">2026-04-22T20:20:00Z</dcterms:created>
  <dcterms:modified xsi:type="dcterms:W3CDTF">2026-04-22T20:29:00Z</dcterms:modified>
  <cp:category/>
</cp:coreProperties>
</file>